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#9</w:t>
      </w:r>
      <w:r>
        <w:rPr>
          <w:rFonts w:hint="eastAsia" w:eastAsia="宋体" w:cs="Arial"/>
          <w:b/>
          <w:sz w:val="22"/>
          <w:szCs w:val="22"/>
          <w:lang w:val="en-US" w:eastAsia="zh-CN"/>
        </w:rPr>
        <w:t>8Bis</w:t>
      </w:r>
      <w:r>
        <w:rPr>
          <w:rFonts w:eastAsia="宋体" w:cs="Arial"/>
          <w:b/>
          <w:sz w:val="22"/>
          <w:szCs w:val="22"/>
          <w:lang w:val="en-US" w:eastAsia="zh-CN"/>
        </w:rPr>
        <w:tab/>
      </w:r>
      <w:r>
        <w:rPr>
          <w:rFonts w:eastAsia="宋体" w:cs="Arial"/>
          <w:b/>
          <w:sz w:val="22"/>
          <w:szCs w:val="22"/>
          <w:lang w:val="sv-SE" w:eastAsia="zh-CN"/>
        </w:rPr>
        <w:t>R1-</w:t>
      </w:r>
      <w:r>
        <w:rPr>
          <w:rFonts w:eastAsia="宋体" w:cs="Arial"/>
          <w:b/>
          <w:sz w:val="22"/>
          <w:szCs w:val="22"/>
          <w:lang w:val="en-US" w:eastAsia="zh-CN"/>
        </w:rPr>
        <w:t>19</w:t>
      </w:r>
      <w:r>
        <w:rPr>
          <w:rFonts w:hint="eastAsia" w:eastAsia="宋体" w:cs="Arial"/>
          <w:b/>
          <w:sz w:val="22"/>
          <w:szCs w:val="22"/>
          <w:lang w:val="en-US" w:eastAsia="zh-CN"/>
        </w:rPr>
        <w:t>09974</w:t>
      </w:r>
    </w:p>
    <w:p>
      <w:pPr>
        <w:pStyle w:val="94"/>
        <w:tabs>
          <w:tab w:val="right" w:pos="9270"/>
        </w:tabs>
        <w:spacing w:after="60" w:line="240" w:lineRule="auto"/>
        <w:ind w:right="134"/>
        <w:jc w:val="both"/>
        <w:rPr>
          <w:rFonts w:cs="Arial"/>
          <w:b/>
          <w:sz w:val="22"/>
          <w:szCs w:val="22"/>
          <w:lang w:val="sv-SE"/>
        </w:rPr>
      </w:pPr>
      <w:r>
        <w:rPr>
          <w:rFonts w:hint="eastAsia" w:eastAsia="宋体" w:cs="Arial"/>
          <w:b/>
          <w:bCs/>
          <w:sz w:val="22"/>
          <w:szCs w:val="22"/>
          <w:lang w:val="en-US" w:eastAsia="zh-CN"/>
        </w:rPr>
        <w:t>Chongqing</w:t>
      </w:r>
      <w:r>
        <w:rPr>
          <w:rFonts w:eastAsia="宋体" w:cs="Arial"/>
          <w:b/>
          <w:bCs/>
          <w:sz w:val="22"/>
          <w:szCs w:val="22"/>
          <w:lang w:val="en-US" w:eastAsia="zh-CN"/>
        </w:rPr>
        <w:t xml:space="preserve">, </w:t>
      </w:r>
      <w:r>
        <w:rPr>
          <w:rFonts w:hint="eastAsia" w:eastAsia="宋体" w:cs="Arial"/>
          <w:b/>
          <w:bCs/>
          <w:sz w:val="22"/>
          <w:szCs w:val="22"/>
          <w:lang w:val="en-US" w:eastAsia="zh-CN"/>
        </w:rPr>
        <w:t>China</w:t>
      </w:r>
      <w:r>
        <w:rPr>
          <w:rFonts w:eastAsia="宋体" w:cs="Arial"/>
          <w:b/>
          <w:bCs/>
          <w:sz w:val="22"/>
          <w:szCs w:val="22"/>
          <w:lang w:val="en-US" w:eastAsia="zh-CN"/>
        </w:rPr>
        <w:t xml:space="preserve">, </w:t>
      </w:r>
      <w:r>
        <w:rPr>
          <w:rFonts w:hint="eastAsia" w:eastAsia="宋体" w:cs="Arial"/>
          <w:b/>
          <w:bCs/>
          <w:sz w:val="22"/>
          <w:szCs w:val="22"/>
          <w:lang w:val="en-US" w:eastAsia="zh-CN"/>
        </w:rPr>
        <w:t>14</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20</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October</w:t>
      </w:r>
      <w:r>
        <w:rPr>
          <w:rFonts w:eastAsia="宋体" w:cs="Arial"/>
          <w:b/>
          <w:sz w:val="22"/>
          <w:szCs w:val="22"/>
          <w:lang w:val="en-US" w:eastAsia="zh-CN"/>
        </w:rPr>
        <w:t>,</w:t>
      </w:r>
      <w:r>
        <w:rPr>
          <w:rFonts w:eastAsia="宋体" w:cs="Arial"/>
          <w:b/>
          <w:sz w:val="22"/>
          <w:szCs w:val="22"/>
          <w:lang w:val="sv-SE" w:eastAsia="zh-CN"/>
        </w:rPr>
        <w:t xml:space="preserve"> 201</w:t>
      </w:r>
      <w:r>
        <w:rPr>
          <w:rFonts w:eastAsia="宋体" w:cs="Arial"/>
          <w:b/>
          <w:sz w:val="22"/>
          <w:szCs w:val="22"/>
          <w:lang w:val="en-US" w:eastAsia="zh-CN"/>
        </w:rPr>
        <w:t>9</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Discussion</w:t>
      </w:r>
      <w:r>
        <w:rPr>
          <w:rFonts w:cs="Arial"/>
          <w:sz w:val="22"/>
          <w:szCs w:val="22"/>
          <w:lang w:eastAsia="zh-CN"/>
        </w:rPr>
        <w:t xml:space="preserve"> on </w:t>
      </w:r>
      <w:r>
        <w:rPr>
          <w:rFonts w:cs="Arial"/>
          <w:sz w:val="22"/>
          <w:szCs w:val="22"/>
          <w:lang w:val="en-US" w:eastAsia="zh-CN"/>
        </w:rPr>
        <w:t>channel access procedure</w:t>
      </w:r>
      <w:r>
        <w:rPr>
          <w:rFonts w:cs="Arial"/>
          <w:sz w:val="22"/>
          <w:szCs w:val="22"/>
          <w:lang w:eastAsia="zh-CN"/>
        </w:rPr>
        <w:t xml:space="preserve"> for NR-U</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eastAsia="zh-CN"/>
        </w:rPr>
      </w:pPr>
      <w:r>
        <w:rPr>
          <w:rFonts w:cs="Arial"/>
          <w:sz w:val="22"/>
          <w:szCs w:val="22"/>
          <w:lang w:eastAsia="zh-CN"/>
        </w:rPr>
        <w:t>Agenda Item:</w:t>
      </w:r>
      <w:r>
        <w:rPr>
          <w:rFonts w:cs="Arial"/>
          <w:sz w:val="22"/>
          <w:szCs w:val="22"/>
          <w:lang w:eastAsia="zh-CN"/>
        </w:rPr>
        <w:tab/>
      </w:r>
      <w:r>
        <w:rPr>
          <w:rFonts w:eastAsia="宋体" w:cs="Arial"/>
          <w:sz w:val="22"/>
          <w:szCs w:val="22"/>
          <w:lang w:val="en-US" w:eastAsia="zh-CN"/>
        </w:rPr>
        <w:t>7</w:t>
      </w:r>
      <w:r>
        <w:rPr>
          <w:rFonts w:eastAsia="宋体" w:cs="Arial"/>
          <w:sz w:val="22"/>
          <w:szCs w:val="22"/>
          <w:lang w:val="sv-SE" w:eastAsia="zh-CN"/>
        </w:rPr>
        <w:t>.</w:t>
      </w:r>
      <w:r>
        <w:rPr>
          <w:rFonts w:eastAsia="宋体" w:cs="Arial"/>
          <w:sz w:val="22"/>
          <w:szCs w:val="22"/>
          <w:lang w:val="en-US" w:eastAsia="zh-CN"/>
        </w:rPr>
        <w:t>2.2</w:t>
      </w:r>
      <w:r>
        <w:rPr>
          <w:rFonts w:eastAsia="宋体" w:cs="Arial"/>
          <w:sz w:val="22"/>
          <w:szCs w:val="22"/>
          <w:lang w:val="sv-SE" w:eastAsia="zh-CN"/>
        </w:rPr>
        <w:t>.</w:t>
      </w:r>
      <w:r>
        <w:rPr>
          <w:rFonts w:eastAsia="宋体" w:cs="Arial"/>
          <w:sz w:val="22"/>
          <w:szCs w:val="22"/>
          <w:lang w:val="en-US" w:eastAsia="zh-CN"/>
        </w:rPr>
        <w:t>2.1</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widowControl w:val="0"/>
        <w:autoSpaceDE w:val="0"/>
        <w:autoSpaceDN w:val="0"/>
        <w:adjustRightInd w:val="0"/>
        <w:spacing w:before="137" w:beforeLines="50" w:after="137" w:afterLines="50" w:line="240" w:lineRule="auto"/>
        <w:jc w:val="both"/>
        <w:rPr>
          <w:rFonts w:eastAsia="宋体"/>
          <w:lang w:val="en-US" w:eastAsia="zh-CN"/>
        </w:rPr>
      </w:pPr>
      <w:bookmarkStart w:id="1" w:name="OLE_LINK1"/>
      <w:bookmarkStart w:id="2" w:name="OLE_LINK15"/>
      <w:bookmarkStart w:id="3" w:name="OLE_LINK16"/>
      <w:bookmarkStart w:id="4" w:name="OLE_LINK2"/>
      <w:r>
        <w:rPr>
          <w:rFonts w:eastAsia="宋体"/>
          <w:lang w:eastAsia="zh-CN"/>
        </w:rPr>
        <w:t xml:space="preserve">In </w:t>
      </w:r>
      <w:r>
        <w:rPr>
          <w:rFonts w:hint="eastAsia" w:eastAsia="宋体"/>
          <w:lang w:val="en-US" w:eastAsia="zh-CN"/>
        </w:rPr>
        <w:t xml:space="preserve">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w:t>
      </w:r>
      <w:r>
        <w:rPr>
          <w:rFonts w:eastAsia="宋体"/>
          <w:lang w:val="en-US" w:eastAsia="zh-CN"/>
        </w:rPr>
        <w:t>is</w:t>
      </w:r>
      <w:r>
        <w:rPr>
          <w:rFonts w:hint="eastAsia" w:eastAsia="宋体"/>
          <w:lang w:val="en-US" w:eastAsia="zh-CN"/>
        </w:rPr>
        <w:t xml:space="preserve"> WI targets to specify NR enhancements for a single global solution framework operati</w:t>
      </w:r>
      <w:r>
        <w:rPr>
          <w:rFonts w:eastAsia="宋体"/>
          <w:lang w:val="en-US" w:eastAsia="zh-CN"/>
        </w:rPr>
        <w:t>ng</w:t>
      </w:r>
      <w:r>
        <w:rPr>
          <w:rFonts w:hint="eastAsia" w:eastAsia="宋体"/>
          <w:lang w:val="en-US" w:eastAsia="zh-CN"/>
        </w:rPr>
        <w:t xml:space="preserve"> </w:t>
      </w:r>
      <w:r>
        <w:rPr>
          <w:rFonts w:eastAsia="宋体"/>
          <w:lang w:val="en-US" w:eastAsia="zh-CN"/>
        </w:rPr>
        <w:t>i</w:t>
      </w:r>
      <w:r>
        <w:rPr>
          <w:rFonts w:hint="eastAsia" w:eastAsia="宋体"/>
          <w:lang w:val="en-US" w:eastAsia="zh-CN"/>
        </w:rPr>
        <w:t>n unlicense</w:t>
      </w:r>
      <w:r>
        <w:rPr>
          <w:rFonts w:eastAsia="宋体"/>
          <w:lang w:val="en-US" w:eastAsia="zh-CN"/>
        </w:rPr>
        <w:t>d bands, e.g.,</w:t>
      </w:r>
      <w:r>
        <w:rPr>
          <w:rFonts w:hint="eastAsia" w:eastAsia="宋体"/>
          <w:lang w:val="en-US" w:eastAsia="zh-CN"/>
        </w:rPr>
        <w:t xml:space="preserve"> 5</w:t>
      </w:r>
      <w:r>
        <w:rPr>
          <w:rFonts w:eastAsia="宋体"/>
          <w:lang w:val="en-US" w:eastAsia="zh-CN"/>
        </w:rPr>
        <w:t xml:space="preserve"> </w:t>
      </w:r>
      <w:r>
        <w:rPr>
          <w:rFonts w:hint="eastAsia" w:eastAsia="宋体"/>
          <w:lang w:val="en-US" w:eastAsia="zh-CN"/>
        </w:rPr>
        <w:t>GHz and 6</w:t>
      </w:r>
      <w:r>
        <w:rPr>
          <w:rFonts w:eastAsia="宋体"/>
          <w:lang w:val="en-US" w:eastAsia="zh-CN"/>
        </w:rPr>
        <w:t xml:space="preserve"> </w:t>
      </w:r>
      <w:r>
        <w:rPr>
          <w:rFonts w:hint="eastAsia" w:eastAsia="宋体"/>
          <w:lang w:val="en-US" w:eastAsia="zh-CN"/>
        </w:rPr>
        <w:t>GHz. In the WID of NR-U, it was described about the specifying support for channel access. During NR-U SI stage, some agreement</w:t>
      </w:r>
      <w:r>
        <w:rPr>
          <w:rFonts w:eastAsia="宋体"/>
          <w:lang w:val="en-US" w:eastAsia="zh-CN"/>
        </w:rPr>
        <w:t>s</w:t>
      </w:r>
      <w:r>
        <w:rPr>
          <w:rFonts w:hint="eastAsia" w:eastAsia="宋体"/>
          <w:lang w:val="en-US" w:eastAsia="zh-CN"/>
        </w:rPr>
        <w:t xml:space="preserve"> </w:t>
      </w:r>
      <w:r>
        <w:rPr>
          <w:rFonts w:eastAsia="宋体"/>
          <w:lang w:val="en-US" w:eastAsia="zh-CN"/>
        </w:rPr>
        <w:t>were</w:t>
      </w:r>
      <w:r>
        <w:rPr>
          <w:rFonts w:hint="eastAsia" w:eastAsia="宋体"/>
          <w:lang w:val="en-US" w:eastAsia="zh-CN"/>
        </w:rPr>
        <w:t xml:space="preserve"> reached and can be regarded as a starting point for NR-U WID. </w:t>
      </w:r>
    </w:p>
    <w:p>
      <w:pPr>
        <w:jc w:val="both"/>
        <w:rPr>
          <w:rFonts w:hint="eastAsia"/>
          <w:lang w:val="en-US" w:eastAsia="zh-CN"/>
        </w:rPr>
      </w:pPr>
      <w:r>
        <w:rPr>
          <w:rFonts w:hint="eastAsia"/>
          <w:lang w:val="en-US" w:eastAsia="zh-CN"/>
        </w:rPr>
        <w:t>In RAN #84 meeting, the following consensus for guidance on essential functionality for NR-U channel access has been reached [2]:</w:t>
      </w:r>
    </w:p>
    <w:p>
      <w:pPr>
        <w:spacing w:before="137" w:beforeLines="50" w:after="137" w:afterLines="50" w:line="240" w:lineRule="auto"/>
        <w:rPr>
          <w:b/>
          <w:bCs/>
          <w:i/>
          <w:iCs/>
          <w:sz w:val="21"/>
          <w:szCs w:val="22"/>
          <w:lang w:val="en-US"/>
        </w:rPr>
      </w:pPr>
      <w:r>
        <w:rPr>
          <w:b/>
          <w:bCs/>
          <w:i/>
          <w:iCs/>
          <w:sz w:val="21"/>
          <w:szCs w:val="22"/>
          <w:lang w:val="en-US"/>
        </w:rPr>
        <w:t>Essential</w:t>
      </w:r>
    </w:p>
    <w:p>
      <w:pPr>
        <w:numPr>
          <w:ilvl w:val="0"/>
          <w:numId w:val="9"/>
        </w:numPr>
        <w:spacing w:before="0" w:beforeLines="0" w:after="0" w:afterLines="0" w:line="240" w:lineRule="auto"/>
        <w:ind w:left="726" w:hanging="363"/>
        <w:rPr>
          <w:i/>
          <w:iCs/>
          <w:lang w:val="en-US"/>
        </w:rPr>
      </w:pPr>
      <w:r>
        <w:rPr>
          <w:i/>
          <w:iCs/>
          <w:lang w:val="en-US"/>
        </w:rPr>
        <w:t>16us cat 2 LBT detailed design</w:t>
      </w:r>
    </w:p>
    <w:p>
      <w:pPr>
        <w:numPr>
          <w:ilvl w:val="0"/>
          <w:numId w:val="9"/>
        </w:numPr>
        <w:spacing w:before="0" w:beforeLines="0" w:after="0" w:afterLines="0" w:line="240" w:lineRule="auto"/>
        <w:ind w:left="726" w:hanging="363"/>
        <w:rPr>
          <w:i/>
          <w:iCs/>
          <w:lang w:val="en-US"/>
        </w:rPr>
      </w:pPr>
      <w:r>
        <w:rPr>
          <w:i/>
          <w:iCs/>
          <w:lang w:val="en-US"/>
        </w:rPr>
        <w:t>Signaling support for LBT type/priority indication</w:t>
      </w:r>
    </w:p>
    <w:p>
      <w:pPr>
        <w:numPr>
          <w:ilvl w:val="0"/>
          <w:numId w:val="9"/>
        </w:numPr>
        <w:spacing w:before="0" w:beforeLines="0" w:after="0" w:afterLines="0" w:line="240" w:lineRule="auto"/>
        <w:ind w:left="726" w:hanging="363"/>
        <w:rPr>
          <w:i/>
          <w:iCs/>
          <w:lang w:val="en-US"/>
        </w:rPr>
      </w:pPr>
      <w:r>
        <w:rPr>
          <w:i/>
          <w:iCs/>
          <w:lang w:val="en-US"/>
        </w:rPr>
        <w:t>CWS adjustment, including reference slot definition, processing timeline, what if no feedback expected or available, CWS adjustment for wideband operation and CG</w:t>
      </w:r>
    </w:p>
    <w:p>
      <w:pPr>
        <w:numPr>
          <w:ilvl w:val="0"/>
          <w:numId w:val="9"/>
        </w:numPr>
        <w:spacing w:before="0" w:beforeLines="0" w:after="0" w:afterLines="0" w:line="240" w:lineRule="auto"/>
        <w:ind w:left="726" w:hanging="363"/>
        <w:rPr>
          <w:i/>
          <w:iCs/>
          <w:lang w:val="en-US"/>
        </w:rPr>
      </w:pPr>
      <w:r>
        <w:rPr>
          <w:i/>
          <w:iCs/>
          <w:lang w:val="en-US"/>
        </w:rPr>
        <w:t>Channel access mechanism details for FBE</w:t>
      </w:r>
    </w:p>
    <w:p>
      <w:pPr>
        <w:numPr>
          <w:ilvl w:val="0"/>
          <w:numId w:val="9"/>
        </w:numPr>
        <w:spacing w:before="0" w:beforeLines="0" w:after="0" w:afterLines="0" w:line="240" w:lineRule="auto"/>
        <w:ind w:left="726" w:hanging="363"/>
        <w:rPr>
          <w:i/>
          <w:iCs/>
          <w:lang w:val="en-US"/>
        </w:rPr>
      </w:pPr>
      <w:r>
        <w:rPr>
          <w:i/>
          <w:iCs/>
          <w:lang w:val="en-US"/>
        </w:rPr>
        <w:t>UE to gNB COT sharing</w:t>
      </w:r>
    </w:p>
    <w:p>
      <w:pPr>
        <w:spacing w:before="137" w:beforeLines="50" w:after="137" w:afterLines="50" w:line="240" w:lineRule="auto"/>
        <w:rPr>
          <w:i/>
          <w:iCs/>
          <w:lang w:val="en-US"/>
        </w:rPr>
      </w:pPr>
      <w:r>
        <w:rPr>
          <w:b/>
          <w:bCs/>
          <w:i/>
          <w:iCs/>
          <w:lang w:val="en-US"/>
        </w:rPr>
        <w:t>Optimizations</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Max TX duration follow cat 1 LBT</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Max number of Cat 2 LBT attempts in a 5ms DRS transmission window</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Wideband LBT with common measurement</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Directional LBT</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LBT to facilitate spatial reuse</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Receiver assisted LBT</w:t>
      </w:r>
    </w:p>
    <w:p>
      <w:pPr>
        <w:spacing w:before="180" w:beforeLines="50" w:after="137" w:afterLines="50" w:line="260" w:lineRule="auto"/>
        <w:ind w:left="0"/>
        <w:jc w:val="both"/>
        <w:rPr>
          <w:rFonts w:hint="eastAsia"/>
          <w:sz w:val="21"/>
          <w:szCs w:val="22"/>
          <w:lang w:val="en-US" w:eastAsia="zh-CN"/>
        </w:rPr>
      </w:pPr>
      <w:r>
        <w:rPr>
          <w:rFonts w:hint="eastAsia"/>
          <w:sz w:val="21"/>
          <w:szCs w:val="22"/>
          <w:lang w:val="en-US" w:eastAsia="zh-CN"/>
        </w:rPr>
        <w:t>In RAN1 #98 meeting [3], the following agreements on channel access were reached for NR-U:</w:t>
      </w:r>
    </w:p>
    <w:p>
      <w:pPr>
        <w:rPr>
          <w:lang w:eastAsia="zh-CN"/>
        </w:rPr>
      </w:pPr>
      <w:r>
        <w:rPr>
          <w:highlight w:val="green"/>
          <w:lang w:eastAsia="zh-CN"/>
        </w:rPr>
        <w:t>Agreement:</w:t>
      </w:r>
    </w:p>
    <w:p>
      <w:pPr>
        <w:spacing w:after="0" w:line="260" w:lineRule="auto"/>
        <w:jc w:val="both"/>
        <w:rPr>
          <w:i/>
          <w:iCs/>
          <w:lang w:eastAsia="zh-CN"/>
        </w:rPr>
      </w:pPr>
      <w:r>
        <w:rPr>
          <w:i/>
          <w:iCs/>
          <w:lang w:eastAsia="zh-CN"/>
        </w:rPr>
        <w:t>For a gNB initiated channel occupancy the reference duration for CWS adjustment is defined as follows.</w:t>
      </w:r>
    </w:p>
    <w:p>
      <w:pPr>
        <w:numPr>
          <w:ilvl w:val="0"/>
          <w:numId w:val="10"/>
        </w:numPr>
        <w:spacing w:after="0" w:line="260" w:lineRule="auto"/>
        <w:ind w:left="726" w:hanging="363"/>
        <w:jc w:val="both"/>
        <w:rPr>
          <w:i/>
          <w:iCs/>
          <w:lang w:eastAsia="zh-CN"/>
        </w:rPr>
      </w:pPr>
      <w:r>
        <w:rPr>
          <w:i/>
          <w:iCs/>
          <w:lang w:eastAsia="zh-CN"/>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pPr>
        <w:numPr>
          <w:ilvl w:val="1"/>
          <w:numId w:val="10"/>
        </w:numPr>
        <w:jc w:val="both"/>
        <w:rPr>
          <w:i/>
          <w:iCs/>
          <w:lang w:eastAsia="zh-CN"/>
        </w:rPr>
      </w:pPr>
      <w:r>
        <w:rPr>
          <w:i/>
          <w:iCs/>
          <w:lang w:eastAsia="zh-CN"/>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pPr>
        <w:rPr>
          <w:i/>
          <w:iCs/>
          <w:lang w:eastAsia="zh-CN"/>
        </w:rPr>
      </w:pPr>
      <w:r>
        <w:rPr>
          <w:i/>
          <w:iCs/>
          <w:highlight w:val="green"/>
          <w:lang w:eastAsia="zh-CN"/>
        </w:rPr>
        <w:t>Agreement:</w:t>
      </w:r>
    </w:p>
    <w:p>
      <w:pPr>
        <w:spacing w:after="0" w:line="260" w:lineRule="auto"/>
        <w:jc w:val="both"/>
        <w:rPr>
          <w:i/>
          <w:iCs/>
          <w:lang w:eastAsia="zh-CN"/>
        </w:rPr>
      </w:pPr>
      <w:r>
        <w:rPr>
          <w:i/>
          <w:iCs/>
          <w:lang w:eastAsia="zh-CN"/>
        </w:rPr>
        <w:t>For a UE initiated channel occupancy the reference duration for CWS adjustment is defined as follows.</w:t>
      </w:r>
    </w:p>
    <w:p>
      <w:pPr>
        <w:numPr>
          <w:ilvl w:val="0"/>
          <w:numId w:val="10"/>
        </w:numPr>
        <w:spacing w:after="0" w:line="260" w:lineRule="auto"/>
        <w:ind w:left="726" w:hanging="363"/>
        <w:jc w:val="both"/>
        <w:rPr>
          <w:i/>
          <w:iCs/>
          <w:lang w:eastAsia="zh-CN"/>
        </w:rPr>
      </w:pPr>
      <w:r>
        <w:rPr>
          <w:i/>
          <w:iCs/>
          <w:lang w:eastAsia="zh-CN"/>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pPr>
        <w:numPr>
          <w:ilvl w:val="1"/>
          <w:numId w:val="10"/>
        </w:numPr>
        <w:jc w:val="both"/>
        <w:rPr>
          <w:i/>
          <w:iCs/>
          <w:lang w:eastAsia="zh-CN"/>
        </w:rPr>
      </w:pPr>
      <w:r>
        <w:rPr>
          <w:i/>
          <w:iCs/>
          <w:lang w:eastAsia="zh-CN"/>
        </w:rPr>
        <w:t>If the CO has a PUSCH, but doesn’t have any PUSCH transmitted over all the resources allocated for that PUSCH, then, the duration of the first transmission burst by the UE within the CO that contains PUSCH(s) is the reference duration for CWS adjustment.</w:t>
      </w:r>
    </w:p>
    <w:p>
      <w:pPr>
        <w:rPr>
          <w:i/>
          <w:iCs/>
          <w:lang w:eastAsia="zh-CN"/>
        </w:rPr>
      </w:pPr>
      <w:r>
        <w:rPr>
          <w:i/>
          <w:iCs/>
          <w:highlight w:val="green"/>
          <w:lang w:eastAsia="zh-CN"/>
        </w:rPr>
        <w:t>Agreement:</w:t>
      </w:r>
    </w:p>
    <w:p>
      <w:pPr>
        <w:spacing w:after="0" w:line="260" w:lineRule="auto"/>
        <w:jc w:val="both"/>
        <w:rPr>
          <w:i/>
          <w:iCs/>
          <w:lang w:eastAsia="zh-CN"/>
        </w:rPr>
      </w:pPr>
      <w:r>
        <w:rPr>
          <w:i/>
          <w:iCs/>
          <w:lang w:eastAsia="zh-CN"/>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pPr>
        <w:numPr>
          <w:ilvl w:val="0"/>
          <w:numId w:val="11"/>
        </w:numPr>
        <w:spacing w:after="0" w:line="260" w:lineRule="auto"/>
        <w:ind w:left="726" w:hanging="363"/>
        <w:jc w:val="both"/>
        <w:rPr>
          <w:i/>
          <w:iCs/>
          <w:lang w:eastAsia="zh-CN"/>
        </w:rPr>
      </w:pPr>
      <w:r>
        <w:rPr>
          <w:i/>
          <w:iCs/>
          <w:lang w:eastAsia="zh-CN"/>
        </w:rPr>
        <w:t>FFS: Details of CWS adjustment based on the reception of a successful transmission</w:t>
      </w:r>
    </w:p>
    <w:p>
      <w:pPr>
        <w:numPr>
          <w:ilvl w:val="0"/>
          <w:numId w:val="11"/>
        </w:numPr>
        <w:jc w:val="both"/>
        <w:rPr>
          <w:i/>
          <w:iCs/>
          <w:lang w:eastAsia="zh-CN"/>
        </w:rPr>
      </w:pPr>
      <w:r>
        <w:rPr>
          <w:i/>
          <w:iCs/>
          <w:lang w:eastAsia="zh-CN"/>
        </w:rPr>
        <w:t>FFS: Handling of PUCCH/PRACH/SRS and PUSCH without UL-SCH</w:t>
      </w:r>
    </w:p>
    <w:p>
      <w:pPr>
        <w:pStyle w:val="124"/>
        <w:spacing w:before="137" w:beforeLines="50" w:after="137" w:afterLines="50" w:line="240" w:lineRule="auto"/>
        <w:ind w:left="0"/>
        <w:jc w:val="both"/>
        <w:rPr>
          <w:rFonts w:hint="eastAsia"/>
          <w:lang w:val="en-US" w:eastAsia="zh-CN"/>
        </w:rPr>
      </w:pPr>
      <w:r>
        <w:rPr>
          <w:rFonts w:hint="eastAsia"/>
          <w:lang w:val="en-US" w:eastAsia="zh-CN"/>
        </w:rPr>
        <w:t xml:space="preserve">In this contribution, we share our views on channel access procedure for NR-U, including Design for Cat-2 LBT with 16 </w:t>
      </w:r>
      <w:r>
        <w:rPr>
          <w:lang w:val="en-US"/>
        </w:rPr>
        <w:t>µs</w:t>
      </w:r>
      <w:r>
        <w:rPr>
          <w:rFonts w:hint="eastAsia"/>
          <w:lang w:val="en-US" w:eastAsia="zh-CN"/>
        </w:rPr>
        <w:t xml:space="preserve">, the indication of LBT type/priority, CWs adjustment, LBT for FBE, UE initiated COT sharing with gNB, Maximun TX duration for Cat-1 LBT, The maximum number of Cat2 LBT attempts in a 5ms DRS transmission window, LBT for wideband operation, Directional LBT, LBT for multiplexing and </w:t>
      </w:r>
      <w:r>
        <w:rPr>
          <w:lang w:val="en-US" w:eastAsia="zh-CN"/>
        </w:rPr>
        <w:t>f</w:t>
      </w:r>
      <w:r>
        <w:rPr>
          <w:rFonts w:hint="eastAsia"/>
          <w:lang w:val="en-US" w:eastAsia="zh-CN"/>
        </w:rPr>
        <w:t xml:space="preserve">requency (spatial) </w:t>
      </w:r>
      <w:r>
        <w:rPr>
          <w:lang w:val="en-US" w:eastAsia="zh-CN"/>
        </w:rPr>
        <w:t>r</w:t>
      </w:r>
      <w:r>
        <w:rPr>
          <w:rFonts w:hint="eastAsia"/>
          <w:lang w:val="en-US" w:eastAsia="zh-CN"/>
        </w:rPr>
        <w:t xml:space="preserve">euse and </w:t>
      </w:r>
      <w:r>
        <w:rPr>
          <w:lang w:val="en-US" w:eastAsia="zh-CN"/>
        </w:rPr>
        <w:t>r</w:t>
      </w:r>
      <w:r>
        <w:rPr>
          <w:rFonts w:hint="eastAsia"/>
          <w:lang w:val="en-US" w:eastAsia="zh-CN"/>
        </w:rPr>
        <w:t>eceiver assisted LBT.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w:t>
      </w:r>
      <w:r>
        <w:rPr>
          <w:rFonts w:ascii="Times New Roman" w:hAnsi="Times New Roman" w:eastAsia="宋体"/>
          <w:b/>
          <w:sz w:val="32"/>
          <w:szCs w:val="32"/>
          <w:lang w:val="en-US" w:eastAsia="zh-CN"/>
        </w:rPr>
        <w:t>Channel access procedure for NR-U</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Design for Cat-2 LBT with 16 µs</w:t>
      </w:r>
    </w:p>
    <w:p>
      <w:pPr>
        <w:numPr>
          <w:ilvl w:val="-1"/>
          <w:numId w:val="0"/>
        </w:numPr>
        <w:spacing w:before="0" w:beforeLines="-2147483648" w:after="180" w:afterLines="-2147483648" w:line="259" w:lineRule="auto"/>
        <w:jc w:val="both"/>
        <w:rPr>
          <w:rFonts w:hint="default" w:eastAsia="宋体"/>
          <w:i w:val="0"/>
          <w:iCs w:val="0"/>
          <w:vertAlign w:val="baseline"/>
          <w:lang w:val="en-US" w:eastAsia="zh-CN"/>
        </w:rPr>
      </w:pPr>
      <w:r>
        <w:rPr>
          <w:rFonts w:hint="eastAsia"/>
          <w:i w:val="0"/>
          <w:iCs w:val="0"/>
          <w:lang w:val="en-US" w:eastAsia="zh-CN"/>
        </w:rPr>
        <w:t xml:space="preserve">In LTE-LAA, Cat-2 LBT with 25 </w:t>
      </w:r>
      <w:r>
        <w:rPr>
          <w:i w:val="0"/>
          <w:iCs w:val="0"/>
          <w:lang w:val="en-US"/>
        </w:rPr>
        <w:t>µs</w:t>
      </w:r>
      <w:r>
        <w:rPr>
          <w:rFonts w:hint="eastAsia" w:eastAsia="宋体"/>
          <w:i w:val="0"/>
          <w:iCs w:val="0"/>
          <w:lang w:val="en-US" w:eastAsia="zh-CN"/>
        </w:rPr>
        <w:t xml:space="preserve"> duration was defined. 25 </w:t>
      </w:r>
      <w:r>
        <w:rPr>
          <w:i w:val="0"/>
          <w:iCs w:val="0"/>
          <w:lang w:val="en-US"/>
        </w:rPr>
        <w:t>µs</w:t>
      </w:r>
      <w:r>
        <w:rPr>
          <w:rFonts w:hint="eastAsia" w:eastAsia="宋体"/>
          <w:i w:val="0"/>
          <w:iCs w:val="0"/>
          <w:lang w:val="en-US" w:eastAsia="zh-CN"/>
        </w:rPr>
        <w:t xml:space="preserve"> Cat-2 LBT consists of a duration 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 16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w:t>
      </w:r>
      <w:r>
        <w:rPr>
          <w:rFonts w:hint="eastAsia" w:eastAsia="宋体"/>
          <w:i w:val="0"/>
          <w:iCs w:val="0"/>
          <w:lang w:val="en-US" w:eastAsia="zh-CN"/>
        </w:rPr>
        <w:t>immediately followed by one slot duration 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s and 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includes a duration </w:t>
      </w:r>
      <w:r>
        <w:rPr>
          <w:rFonts w:hint="eastAsia" w:eastAsia="宋体"/>
          <w:i w:val="0"/>
          <w:iCs w:val="0"/>
          <w:lang w:val="en-US" w:eastAsia="zh-CN"/>
        </w:rPr>
        <w:t>T</w:t>
      </w:r>
      <w:r>
        <w:rPr>
          <w:rFonts w:hint="eastAsia" w:eastAsia="宋体"/>
          <w:i w:val="0"/>
          <w:iCs w:val="0"/>
          <w:vertAlign w:val="subscript"/>
          <w:lang w:val="en-US" w:eastAsia="zh-CN"/>
        </w:rPr>
        <w:t xml:space="preserve">sl </w:t>
      </w:r>
      <w:r>
        <w:rPr>
          <w:rFonts w:hint="eastAsia" w:eastAsia="宋体"/>
          <w:i w:val="0"/>
          <w:iCs w:val="0"/>
          <w:vertAlign w:val="baseline"/>
          <w:lang w:val="en-US" w:eastAsia="zh-CN"/>
        </w:rPr>
        <w:t>immediately followed by a slot duration</w:t>
      </w:r>
      <w:r>
        <w:rPr>
          <w:rFonts w:hint="eastAsia" w:eastAsia="宋体"/>
          <w:i w:val="0"/>
          <w:iCs w:val="0"/>
          <w:vertAlign w:val="subscript"/>
          <w:lang w:val="en-US" w:eastAsia="zh-CN"/>
        </w:rPr>
        <w:t xml:space="preserve"> </w:t>
      </w:r>
      <w:r>
        <w:rPr>
          <w:rFonts w:hint="eastAsia" w:eastAsia="宋体"/>
          <w:i w:val="0"/>
          <w:iCs w:val="0"/>
          <w:vertAlign w:val="baseline"/>
          <w:lang w:val="en-US" w:eastAsia="zh-CN"/>
        </w:rPr>
        <w:t>T</w:t>
      </w:r>
      <w:r>
        <w:rPr>
          <w:rFonts w:hint="eastAsia" w:eastAsia="宋体"/>
          <w:i w:val="0"/>
          <w:iCs w:val="0"/>
          <w:vertAlign w:val="subscript"/>
          <w:lang w:val="en-US" w:eastAsia="zh-CN"/>
        </w:rPr>
        <w:t>i</w:t>
      </w:r>
      <w:r>
        <w:rPr>
          <w:rFonts w:hint="eastAsia" w:eastAsia="宋体"/>
          <w:i w:val="0"/>
          <w:iCs w:val="0"/>
          <w:vertAlign w:val="baseline"/>
          <w:lang w:val="en-US" w:eastAsia="zh-CN"/>
        </w:rPr>
        <w:t xml:space="preserve"> = 7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as shown in Figure 1. Wherein, energy measurement is done in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 xml:space="preserve">s with the measurement including averaging for </w:t>
      </w:r>
      <w:r>
        <w:rPr>
          <w:rFonts w:hint="eastAsia" w:eastAsia="宋体"/>
          <w:i w:val="0"/>
          <w:iCs w:val="0"/>
          <w:vertAlign w:val="baseline"/>
          <w:lang w:val="en-US" w:eastAsia="zh-CN"/>
        </w:rPr>
        <w:t xml:space="preserve">at least 4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s in any portion of the first and second 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s slot duration. If the measured energy is lower than the ED threshold, then channel is said to be idle.</w:t>
      </w:r>
    </w:p>
    <w:p>
      <w:pPr>
        <w:numPr>
          <w:ilvl w:val="255"/>
          <w:numId w:val="0"/>
        </w:numPr>
        <w:spacing w:before="137" w:beforeLines="50" w:after="137" w:afterLines="50" w:line="240" w:lineRule="auto"/>
        <w:jc w:val="center"/>
      </w:pPr>
      <w:r>
        <w:object>
          <v:shape id="_x0000_i1025" o:spt="75" type="#_x0000_t75" style="height:80pt;width:362.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numPr>
          <w:ilvl w:val="255"/>
          <w:numId w:val="0"/>
        </w:numPr>
        <w:spacing w:before="137" w:beforeLines="50" w:after="137" w:afterLines="50" w:line="240" w:lineRule="auto"/>
        <w:jc w:val="center"/>
        <w:rPr>
          <w:rFonts w:hint="default"/>
          <w:b/>
          <w:bCs/>
          <w:lang w:val="en-US" w:eastAsia="zh-CN"/>
        </w:rPr>
      </w:pPr>
      <w:r>
        <w:rPr>
          <w:rFonts w:hint="eastAsia"/>
          <w:b/>
          <w:bCs/>
          <w:lang w:val="en-US" w:eastAsia="zh-CN"/>
        </w:rPr>
        <w:t>Figure1. The definition of Cat-2 LBT with 25</w:t>
      </w:r>
      <w:r>
        <w:rPr>
          <w:rFonts w:hint="eastAsia" w:eastAsia="宋体"/>
          <w:b/>
          <w:bCs/>
          <w:i w:val="0"/>
          <w:iCs w:val="0"/>
          <w:vertAlign w:val="baseline"/>
          <w:lang w:val="en-US" w:eastAsia="zh-CN"/>
        </w:rPr>
        <w:t xml:space="preserve"> </w:t>
      </w:r>
      <w:r>
        <w:rPr>
          <w:rFonts w:hint="default" w:ascii="Times New Roman" w:hAnsi="Times New Roman" w:eastAsia="宋体" w:cs="Times New Roman"/>
          <w:b/>
          <w:bCs/>
          <w:i w:val="0"/>
          <w:iCs w:val="0"/>
          <w:vertAlign w:val="baseline"/>
          <w:lang w:val="en-US" w:eastAsia="zh-CN"/>
        </w:rPr>
        <w:t>µ</w:t>
      </w:r>
      <w:r>
        <w:rPr>
          <w:rFonts w:hint="eastAsia" w:eastAsia="宋体"/>
          <w:b/>
          <w:bCs/>
          <w:i w:val="0"/>
          <w:iCs w:val="0"/>
          <w:vertAlign w:val="baseline"/>
          <w:lang w:val="en-US" w:eastAsia="zh-CN"/>
        </w:rPr>
        <w:t>s duration in LTE-LAA</w:t>
      </w:r>
    </w:p>
    <w:p>
      <w:pPr>
        <w:numPr>
          <w:ilvl w:val="255"/>
          <w:numId w:val="0"/>
        </w:numPr>
        <w:spacing w:before="137" w:beforeLines="50" w:after="137" w:afterLines="50" w:line="240" w:lineRule="auto"/>
        <w:jc w:val="both"/>
        <w:rPr>
          <w:rFonts w:hint="eastAsia"/>
          <w:lang w:val="en-US" w:eastAsia="zh-CN"/>
        </w:rPr>
      </w:pPr>
      <w:r>
        <w:rPr>
          <w:rFonts w:hint="eastAsia"/>
          <w:lang w:val="en-US" w:eastAsia="zh-CN"/>
        </w:rPr>
        <w:t xml:space="preserve">In RAN1 #97meeting, it was agreed that Cat-2 LBT need to be performed if the gap between DL and UL is 16 µs and the following three alternatives were identified as candidate ways to support Cat-2 LBT with 16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s</w:t>
      </w:r>
      <w:r>
        <w:rPr>
          <w:rFonts w:hint="eastAsia"/>
          <w:lang w:val="en-US" w:eastAsia="zh-CN"/>
        </w:rPr>
        <w:t>:</w:t>
      </w:r>
    </w:p>
    <w:p>
      <w:pPr>
        <w:numPr>
          <w:ilvl w:val="0"/>
          <w:numId w:val="12"/>
        </w:numPr>
        <w:spacing w:before="137" w:beforeLines="50" w:after="137" w:afterLines="50" w:line="240" w:lineRule="auto"/>
        <w:jc w:val="both"/>
        <w:rPr>
          <w:i/>
          <w:iCs/>
          <w:lang w:val="en-US"/>
        </w:rPr>
      </w:pPr>
      <w:r>
        <w:rPr>
          <w:i/>
          <w:iCs/>
          <w:lang w:val="en-US"/>
        </w:rPr>
        <w:t xml:space="preserve">Alt 1: The 16us measurement period is split into two slots with the first slot having a duration 7us and second slot having a duration of 9us. </w:t>
      </w:r>
    </w:p>
    <w:p>
      <w:pPr>
        <w:numPr>
          <w:ilvl w:val="1"/>
          <w:numId w:val="12"/>
        </w:numPr>
        <w:spacing w:before="137" w:beforeLines="50" w:after="137" w:afterLines="50" w:line="240" w:lineRule="auto"/>
        <w:jc w:val="both"/>
        <w:rPr>
          <w:i/>
          <w:iCs/>
          <w:lang w:val="en-US"/>
        </w:rPr>
      </w:pPr>
      <w:r>
        <w:rPr>
          <w:i/>
          <w:iCs/>
          <w:lang w:val="en-US"/>
        </w:rPr>
        <w:t xml:space="preserve">Energy measurement is done in the 9us slot with the measurement including averaging for at least 4 us in any portion of the slot. LBT is said to be successful if the measured energy is lower than the ED threshold. </w:t>
      </w:r>
    </w:p>
    <w:p>
      <w:pPr>
        <w:numPr>
          <w:ilvl w:val="0"/>
          <w:numId w:val="12"/>
        </w:numPr>
        <w:spacing w:before="137" w:beforeLines="50" w:after="137" w:afterLines="50" w:line="240" w:lineRule="auto"/>
        <w:jc w:val="both"/>
        <w:rPr>
          <w:i/>
          <w:iCs/>
          <w:lang w:val="en-US"/>
        </w:rPr>
      </w:pPr>
      <w:r>
        <w:rPr>
          <w:i/>
          <w:iCs/>
          <w:lang w:val="en-US"/>
        </w:rPr>
        <w:t xml:space="preserve">Alt 2: The 16us measurement period is split into two slots with the first slot having a duration 7us and second slot having a duration of 9us. </w:t>
      </w:r>
    </w:p>
    <w:p>
      <w:pPr>
        <w:numPr>
          <w:ilvl w:val="1"/>
          <w:numId w:val="12"/>
        </w:numPr>
        <w:spacing w:before="137" w:beforeLines="50" w:after="137" w:afterLines="50" w:line="240" w:lineRule="auto"/>
        <w:jc w:val="both"/>
        <w:rPr>
          <w:i/>
          <w:iCs/>
          <w:lang w:val="en-US"/>
        </w:rPr>
      </w:pPr>
      <w:r>
        <w:rPr>
          <w:i/>
          <w:iCs/>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pPr>
        <w:numPr>
          <w:ilvl w:val="0"/>
          <w:numId w:val="12"/>
        </w:numPr>
        <w:spacing w:before="137" w:beforeLines="50" w:after="137" w:afterLines="50" w:line="240" w:lineRule="auto"/>
        <w:jc w:val="both"/>
        <w:rPr>
          <w:i/>
          <w:iCs/>
          <w:lang w:val="en-US"/>
        </w:rPr>
      </w:pPr>
      <w:r>
        <w:rPr>
          <w:i/>
          <w:iCs/>
          <w:lang w:val="en-US"/>
        </w:rPr>
        <w:t xml:space="preserve">Alt 3: Energy measurement is done in any portion of the 16 us duration including averaging for at least 4 us. LBT is said to be successful if the measured energy is lower than the ED threshold. </w:t>
      </w:r>
    </w:p>
    <w:p>
      <w:pPr>
        <w:numPr>
          <w:ilvl w:val="255"/>
          <w:numId w:val="0"/>
        </w:numPr>
        <w:spacing w:before="137" w:beforeLines="50" w:after="137" w:afterLines="50" w:line="240" w:lineRule="auto"/>
        <w:jc w:val="both"/>
        <w:rPr>
          <w:rFonts w:hint="eastAsia" w:eastAsia="宋体"/>
          <w:i w:val="0"/>
          <w:iCs w:val="0"/>
          <w:vertAlign w:val="baseline"/>
          <w:lang w:val="en-US" w:eastAsia="zh-CN"/>
        </w:rPr>
      </w:pPr>
      <w:r>
        <w:rPr>
          <w:rFonts w:hint="eastAsia"/>
          <w:i w:val="0"/>
          <w:iCs w:val="0"/>
          <w:lang w:val="en-US" w:eastAsia="zh-CN"/>
        </w:rPr>
        <w:t xml:space="preserve">For Alt 1 as shown in Figure 2, it can follow Cat-2 LBT with 25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design method in LTE-LAA as much as possible. Wherein, 4us measurement duration is done in any portion of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w:t>
      </w:r>
      <w:r>
        <w:rPr>
          <w:rFonts w:hint="eastAsia" w:eastAsia="宋体"/>
          <w:i w:val="0"/>
          <w:iCs w:val="0"/>
          <w:vertAlign w:val="baseline"/>
          <w:lang w:val="en-US" w:eastAsia="zh-CN"/>
        </w:rPr>
        <w:t xml:space="preserve"> slot, which will help to more accurately assess the availability of channel before transmission start and ensure the fairness of coexistence and degrade specification impacts. </w:t>
      </w:r>
    </w:p>
    <w:p>
      <w:pPr>
        <w:numPr>
          <w:ilvl w:val="255"/>
          <w:numId w:val="0"/>
        </w:numPr>
        <w:spacing w:before="137" w:beforeLines="50" w:after="137" w:afterLines="50" w:line="240" w:lineRule="auto"/>
        <w:jc w:val="both"/>
        <w:rPr>
          <w:rFonts w:hint="default" w:eastAsia="宋体"/>
          <w:i w:val="0"/>
          <w:iCs w:val="0"/>
          <w:vertAlign w:val="baseline"/>
          <w:lang w:val="en-US" w:eastAsia="zh-CN"/>
        </w:rPr>
      </w:pPr>
      <w:r>
        <w:rPr>
          <w:rFonts w:hint="eastAsia" w:eastAsia="宋体"/>
          <w:i w:val="0"/>
          <w:iCs w:val="0"/>
          <w:vertAlign w:val="baseline"/>
          <w:lang w:val="en-US" w:eastAsia="zh-CN"/>
        </w:rPr>
        <w:t xml:space="preserve">For Alt 2 as shown in Figure 3, in addition to measure energy in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 xml:space="preserve">s slot duration, the energy measurement also need to be performed in the </w:t>
      </w:r>
      <w:r>
        <w:rPr>
          <w:rFonts w:hint="eastAsia" w:eastAsia="宋体"/>
          <w:i w:val="0"/>
          <w:iCs w:val="0"/>
          <w:vertAlign w:val="baseline"/>
          <w:lang w:val="en-US" w:eastAsia="zh-CN"/>
        </w:rPr>
        <w:t>T</w:t>
      </w:r>
      <w:r>
        <w:rPr>
          <w:rFonts w:hint="eastAsia" w:eastAsia="宋体"/>
          <w:i w:val="0"/>
          <w:iCs w:val="0"/>
          <w:vertAlign w:val="subscript"/>
          <w:lang w:val="en-US" w:eastAsia="zh-CN"/>
        </w:rPr>
        <w:t>i</w:t>
      </w:r>
      <w:r>
        <w:rPr>
          <w:rFonts w:hint="eastAsia" w:eastAsia="宋体"/>
          <w:i w:val="0"/>
          <w:iCs w:val="0"/>
          <w:vertAlign w:val="baseline"/>
          <w:lang w:val="en-US" w:eastAsia="zh-CN"/>
        </w:rPr>
        <w:t xml:space="preserve"> = 7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duration, which is similar to the energy measurement procedure for Cat-2 LBT with 25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gap. Although this method is beneficial to accurately assess current channel status, it also imposes some stringent hardware requirement for the device and brings some specification impacts, e.g., need to modify existing energy measurement ways for </w:t>
      </w:r>
      <w:r>
        <w:rPr>
          <w:rFonts w:hint="eastAsia" w:eastAsia="宋体"/>
          <w:i w:val="0"/>
          <w:iCs w:val="0"/>
          <w:lang w:val="en-US" w:eastAsia="zh-CN"/>
        </w:rPr>
        <w:t>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 16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duration. Further, it is a  very low probability event for other device to access the channel within such shorter gap. Thus, compared with Alt 2, a single measurement performed in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 xml:space="preserve">s slot duration seems sufficient for </w:t>
      </w:r>
      <w:r>
        <w:rPr>
          <w:rFonts w:hint="eastAsia" w:eastAsia="宋体"/>
          <w:i w:val="0"/>
          <w:iCs w:val="0"/>
          <w:vertAlign w:val="baseline"/>
          <w:lang w:val="en-US" w:eastAsia="zh-CN"/>
        </w:rPr>
        <w:t>Alt 1.</w:t>
      </w:r>
    </w:p>
    <w:p>
      <w:pPr>
        <w:numPr>
          <w:ilvl w:val="255"/>
          <w:numId w:val="0"/>
        </w:numPr>
        <w:spacing w:before="137" w:beforeLines="50" w:after="137" w:afterLines="50" w:line="240" w:lineRule="auto"/>
        <w:jc w:val="both"/>
        <w:rPr>
          <w:rFonts w:hint="eastAsia" w:eastAsia="宋体" w:cs="Times New Roman"/>
          <w:i w:val="0"/>
          <w:iCs w:val="0"/>
          <w:vertAlign w:val="baseline"/>
          <w:lang w:val="en-US" w:eastAsia="zh-CN"/>
        </w:rPr>
      </w:pPr>
      <w:r>
        <w:rPr>
          <w:rFonts w:hint="eastAsia" w:eastAsia="宋体"/>
          <w:i w:val="0"/>
          <w:iCs w:val="0"/>
          <w:vertAlign w:val="baseline"/>
          <w:lang w:val="en-US" w:eastAsia="zh-CN"/>
        </w:rPr>
        <w:t xml:space="preserve">For Alt 3, compared with the first two alternatives, it takes 16 </w:t>
      </w:r>
      <w:r>
        <w:rPr>
          <w:rFonts w:hint="default" w:ascii="Times New Roman" w:hAnsi="Times New Roman" w:eastAsia="宋体" w:cs="Times New Roman"/>
          <w:i w:val="0"/>
          <w:iCs w:val="0"/>
          <w:vertAlign w:val="baseline"/>
          <w:lang w:val="en-US" w:eastAsia="zh-CN"/>
        </w:rPr>
        <w:t>µ</w:t>
      </w:r>
      <w:r>
        <w:rPr>
          <w:rFonts w:hint="eastAsia" w:eastAsia="宋体" w:cs="Times New Roman"/>
          <w:i w:val="0"/>
          <w:iCs w:val="0"/>
          <w:vertAlign w:val="baseline"/>
          <w:lang w:val="en-US" w:eastAsia="zh-CN"/>
        </w:rPr>
        <w:t xml:space="preserve">s duration as a whole and measurement can be done in any portion of 16 </w:t>
      </w:r>
      <w:r>
        <w:rPr>
          <w:rFonts w:hint="default" w:ascii="Times New Roman" w:hAnsi="Times New Roman" w:eastAsia="宋体" w:cs="Times New Roman"/>
          <w:i w:val="0"/>
          <w:iCs w:val="0"/>
          <w:vertAlign w:val="baseline"/>
          <w:lang w:val="en-US" w:eastAsia="zh-CN"/>
        </w:rPr>
        <w:t>µ</w:t>
      </w:r>
      <w:r>
        <w:rPr>
          <w:rFonts w:hint="eastAsia" w:eastAsia="宋体" w:cs="Times New Roman"/>
          <w:i w:val="0"/>
          <w:iCs w:val="0"/>
          <w:vertAlign w:val="baseline"/>
          <w:lang w:val="en-US" w:eastAsia="zh-CN"/>
        </w:rPr>
        <w:t xml:space="preserve">s, which means the device is not obliged to perform the energy measurement immediately before transmission start so that it is not beneficial to obtain accurately clear channel status. Besides, it also needs to introduce a new definition of energy measurement. </w:t>
      </w:r>
    </w:p>
    <w:p>
      <w:pPr>
        <w:numPr>
          <w:ilvl w:val="255"/>
          <w:numId w:val="0"/>
        </w:numPr>
        <w:spacing w:before="137" w:beforeLines="50" w:after="137" w:afterLines="50" w:line="240" w:lineRule="auto"/>
        <w:jc w:val="both"/>
        <w:rPr>
          <w:rFonts w:hint="default" w:eastAsia="宋体"/>
          <w:i w:val="0"/>
          <w:iCs w:val="0"/>
          <w:vertAlign w:val="baseline"/>
          <w:lang w:val="en-US" w:eastAsia="zh-CN"/>
        </w:rPr>
      </w:pPr>
      <w:r>
        <w:rPr>
          <w:rFonts w:hint="eastAsia" w:eastAsia="宋体" w:cs="Times New Roman"/>
          <w:i w:val="0"/>
          <w:iCs w:val="0"/>
          <w:vertAlign w:val="baseline"/>
          <w:lang w:val="en-US" w:eastAsia="zh-CN"/>
        </w:rPr>
        <w:t xml:space="preserve">Based the above analysis, from the perspective of minimizing specification impacts and the fairness of coexistence, it is recommended that Alt 1 should be supported for Cat-2 LBT with 16 </w:t>
      </w:r>
      <w:r>
        <w:rPr>
          <w:rFonts w:hint="default" w:ascii="Times New Roman" w:hAnsi="Times New Roman" w:eastAsia="宋体" w:cs="Times New Roman"/>
          <w:i w:val="0"/>
          <w:iCs w:val="0"/>
          <w:vertAlign w:val="baseline"/>
          <w:lang w:val="en-US" w:eastAsia="zh-CN"/>
        </w:rPr>
        <w:t>µ</w:t>
      </w:r>
      <w:r>
        <w:rPr>
          <w:rFonts w:hint="eastAsia" w:eastAsia="宋体" w:cs="Times New Roman"/>
          <w:i w:val="0"/>
          <w:iCs w:val="0"/>
          <w:vertAlign w:val="baseline"/>
          <w:lang w:val="en-US" w:eastAsia="zh-CN"/>
        </w:rPr>
        <w:t>s duration.</w:t>
      </w:r>
    </w:p>
    <w:p>
      <w:pPr>
        <w:numPr>
          <w:ilvl w:val="255"/>
          <w:numId w:val="0"/>
        </w:numPr>
        <w:spacing w:before="120" w:after="120" w:line="240" w:lineRule="auto"/>
        <w:jc w:val="center"/>
      </w:pPr>
      <w:r>
        <w:object>
          <v:shape id="_x0000_i1026" o:spt="75" type="#_x0000_t75" style="height:64pt;width:23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Figure2. The definition of Cat</w:t>
      </w:r>
      <w:r>
        <w:rPr>
          <w:rFonts w:eastAsia="宋体"/>
          <w:b/>
          <w:bCs/>
          <w:lang w:val="en-US" w:eastAsia="zh-CN"/>
        </w:rPr>
        <w:t>-</w:t>
      </w:r>
      <w:r>
        <w:rPr>
          <w:rFonts w:hint="eastAsia" w:eastAsia="宋体"/>
          <w:b/>
          <w:bCs/>
          <w:lang w:val="en-US" w:eastAsia="zh-CN"/>
        </w:rPr>
        <w:t>2 LBT with 16</w:t>
      </w:r>
      <w:r>
        <w:rPr>
          <w:rFonts w:eastAsia="宋体"/>
          <w:b/>
          <w:bCs/>
          <w:i w:val="0"/>
          <w:iCs w:val="0"/>
          <w:lang w:val="en-US" w:eastAsia="zh-CN"/>
        </w:rPr>
        <w:t xml:space="preserve"> </w:t>
      </w:r>
      <w:r>
        <w:rPr>
          <w:rFonts w:hint="default" w:ascii="Times New Roman" w:hAnsi="Times New Roman" w:eastAsia="宋体" w:cs="Times New Roman"/>
          <w:b/>
          <w:bCs/>
          <w:i w:val="0"/>
          <w:iCs w:val="0"/>
          <w:vertAlign w:val="baseline"/>
          <w:lang w:val="en-US" w:eastAsia="zh-CN"/>
        </w:rPr>
        <w:t>µ</w:t>
      </w:r>
      <w:r>
        <w:rPr>
          <w:rFonts w:hint="eastAsia" w:eastAsia="宋体" w:cs="Times New Roman"/>
          <w:b/>
          <w:bCs/>
          <w:i w:val="0"/>
          <w:iCs w:val="0"/>
          <w:vertAlign w:val="baseline"/>
          <w:lang w:val="en-US" w:eastAsia="zh-CN"/>
        </w:rPr>
        <w:t>s</w:t>
      </w:r>
      <w:r>
        <w:rPr>
          <w:rFonts w:hint="eastAsia" w:eastAsia="宋体" w:cs="Times New Roman"/>
          <w:b/>
          <w:bCs/>
          <w:i/>
          <w:iCs/>
          <w:vertAlign w:val="baseline"/>
          <w:lang w:val="en-US" w:eastAsia="zh-CN"/>
        </w:rPr>
        <w:t xml:space="preserve"> </w:t>
      </w:r>
      <w:r>
        <w:rPr>
          <w:rFonts w:hint="eastAsia" w:eastAsia="宋体"/>
          <w:b/>
          <w:bCs/>
          <w:lang w:val="en-US" w:eastAsia="zh-CN"/>
        </w:rPr>
        <w:t>duration for Alt 1</w:t>
      </w:r>
    </w:p>
    <w:p>
      <w:pPr>
        <w:jc w:val="center"/>
      </w:pPr>
      <w:r>
        <w:object>
          <v:shape id="_x0000_i1027" o:spt="75" type="#_x0000_t75" style="height:64pt;width:232.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Figure3. The definition of Cat</w:t>
      </w:r>
      <w:r>
        <w:rPr>
          <w:rFonts w:eastAsia="宋体"/>
          <w:b/>
          <w:bCs/>
          <w:lang w:val="en-US" w:eastAsia="zh-CN"/>
        </w:rPr>
        <w:t>-</w:t>
      </w:r>
      <w:r>
        <w:rPr>
          <w:rFonts w:hint="eastAsia" w:eastAsia="宋体"/>
          <w:b/>
          <w:bCs/>
          <w:lang w:val="en-US" w:eastAsia="zh-CN"/>
        </w:rPr>
        <w:t>2 LBT with 16</w:t>
      </w:r>
      <w:r>
        <w:rPr>
          <w:rFonts w:eastAsia="宋体"/>
          <w:b/>
          <w:bCs/>
          <w:lang w:val="en-US" w:eastAsia="zh-CN"/>
        </w:rPr>
        <w:t xml:space="preserve"> </w:t>
      </w:r>
      <w:r>
        <w:rPr>
          <w:rFonts w:hint="default" w:ascii="Times New Roman" w:hAnsi="Times New Roman" w:eastAsia="宋体" w:cs="Times New Roman"/>
          <w:b/>
          <w:bCs/>
          <w:i/>
          <w:iCs/>
          <w:vertAlign w:val="baseline"/>
          <w:lang w:val="en-US" w:eastAsia="zh-CN"/>
        </w:rPr>
        <w:t>µ</w:t>
      </w:r>
      <w:r>
        <w:rPr>
          <w:rFonts w:hint="eastAsia" w:eastAsia="宋体" w:cs="Times New Roman"/>
          <w:b/>
          <w:bCs/>
          <w:i/>
          <w:iCs/>
          <w:vertAlign w:val="baseline"/>
          <w:lang w:val="en-US" w:eastAsia="zh-CN"/>
        </w:rPr>
        <w:t xml:space="preserve">s </w:t>
      </w:r>
      <w:r>
        <w:rPr>
          <w:rFonts w:hint="eastAsia" w:eastAsia="宋体"/>
          <w:b/>
          <w:bCs/>
          <w:lang w:val="en-US" w:eastAsia="zh-CN"/>
        </w:rPr>
        <w:t>duration for Alt 2</w:t>
      </w:r>
    </w:p>
    <w:p>
      <w:pPr>
        <w:jc w:val="center"/>
      </w:pPr>
      <w:r>
        <w:object>
          <v:shape id="_x0000_i1028" o:spt="75" type="#_x0000_t75" style="height:58.5pt;width:232.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Figure4. The definition of Cat</w:t>
      </w:r>
      <w:r>
        <w:rPr>
          <w:rFonts w:eastAsia="宋体"/>
          <w:b/>
          <w:bCs/>
          <w:lang w:val="en-US" w:eastAsia="zh-CN"/>
        </w:rPr>
        <w:t>-</w:t>
      </w:r>
      <w:r>
        <w:rPr>
          <w:rFonts w:hint="eastAsia" w:eastAsia="宋体"/>
          <w:b/>
          <w:bCs/>
          <w:lang w:val="en-US" w:eastAsia="zh-CN"/>
        </w:rPr>
        <w:t>2 LBT with 16</w:t>
      </w:r>
      <w:r>
        <w:rPr>
          <w:rFonts w:eastAsia="宋体"/>
          <w:b/>
          <w:bCs/>
          <w:lang w:val="en-US" w:eastAsia="zh-CN"/>
        </w:rPr>
        <w:t xml:space="preserve"> </w:t>
      </w:r>
      <w:r>
        <w:rPr>
          <w:rFonts w:hint="default" w:ascii="Times New Roman" w:hAnsi="Times New Roman" w:eastAsia="宋体" w:cs="Times New Roman"/>
          <w:b/>
          <w:bCs/>
          <w:i/>
          <w:iCs/>
          <w:vertAlign w:val="baseline"/>
          <w:lang w:val="en-US" w:eastAsia="zh-CN"/>
        </w:rPr>
        <w:t>µ</w:t>
      </w:r>
      <w:r>
        <w:rPr>
          <w:rFonts w:hint="eastAsia" w:eastAsia="宋体" w:cs="Times New Roman"/>
          <w:b/>
          <w:bCs/>
          <w:i/>
          <w:iCs/>
          <w:vertAlign w:val="baseline"/>
          <w:lang w:val="en-US" w:eastAsia="zh-CN"/>
        </w:rPr>
        <w:t>s</w:t>
      </w:r>
      <w:r>
        <w:rPr>
          <w:rFonts w:hint="eastAsia" w:eastAsia="宋体"/>
          <w:b/>
          <w:bCs/>
          <w:lang w:val="en-US" w:eastAsia="zh-CN"/>
        </w:rPr>
        <w:t xml:space="preserve"> duration for Alt 3</w:t>
      </w:r>
    </w:p>
    <w:p>
      <w:pPr>
        <w:spacing w:before="137" w:beforeLines="50" w:after="137" w:afterLines="50" w:line="240" w:lineRule="auto"/>
        <w:jc w:val="both"/>
        <w:rPr>
          <w:rFonts w:hint="default"/>
          <w:b/>
          <w:bCs/>
          <w:lang w:val="en-US" w:eastAsia="zh-CN"/>
        </w:rPr>
      </w:pPr>
      <w:r>
        <w:rPr>
          <w:rFonts w:hint="eastAsia"/>
          <w:b/>
          <w:bCs/>
          <w:lang w:val="en-US" w:eastAsia="zh-CN"/>
        </w:rPr>
        <w:t xml:space="preserve">Proposal 1: </w:t>
      </w:r>
      <w:r>
        <w:rPr>
          <w:rFonts w:hint="eastAsia"/>
          <w:b w:val="0"/>
          <w:bCs w:val="0"/>
          <w:i/>
          <w:iCs/>
          <w:lang w:val="en-US" w:eastAsia="zh-CN"/>
        </w:rPr>
        <w:t xml:space="preserve">From the respective of minimizing the impacts of specification and the fairness of coexistence, Alt 1 that Cat-2 LBT with 16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consists of a duration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immediately followed by a slot duration Ti = 7 µs and Energy measurement is done in the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slot with the measurement including averaging for at least 4 us in any portion of the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s slot should be supported.</w:t>
      </w:r>
    </w:p>
    <w:p>
      <w:pPr>
        <w:pStyle w:val="3"/>
        <w:spacing w:before="120" w:after="120" w:line="240" w:lineRule="auto"/>
        <w:jc w:val="both"/>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The Indication of LBT Type/Priority</w:t>
      </w:r>
    </w:p>
    <w:p>
      <w:pPr>
        <w:numPr>
          <w:ilvl w:val="255"/>
          <w:numId w:val="0"/>
        </w:numPr>
        <w:spacing w:before="137" w:beforeLines="50" w:after="137" w:afterLines="50" w:line="240" w:lineRule="auto"/>
        <w:jc w:val="both"/>
        <w:rPr>
          <w:rFonts w:hint="default"/>
          <w:lang w:val="en-US" w:eastAsia="zh-CN"/>
        </w:rPr>
      </w:pPr>
      <w:r>
        <w:rPr>
          <w:rFonts w:hint="eastAsia"/>
          <w:lang w:val="en-US" w:eastAsia="zh-CN"/>
        </w:rPr>
        <w:t>As said in the Section 2.2, 16 us Cat-2 LBT had been supported in RAN1 #97 meeting if the gap between DL and UL is 16 µs. Based on this, there are already four different types of LBT schemes such as Cat-1 LBT(No LBT), Cat-2 LBT with 16 µs, Cat-2 LBT with 25 µs and Cat-4 LBT to be supported in NR-U. In these types, which type of LBT to use depends on the length of gap between DL and UL or indication information by gNB. Further, for the length of gap, it is known only by gNB but not by UE. Therefore, we think that LBT type used by UE should be indicated by gNB.</w:t>
      </w:r>
    </w:p>
    <w:p>
      <w:pPr>
        <w:spacing w:before="137" w:beforeLines="50" w:after="137" w:afterLines="50" w:line="240" w:lineRule="auto"/>
        <w:jc w:val="both"/>
        <w:rPr>
          <w:rFonts w:hint="default"/>
          <w:b w:val="0"/>
          <w:bCs w:val="0"/>
          <w:i/>
          <w:iCs/>
          <w:lang w:val="en-US" w:eastAsia="zh-CN"/>
        </w:rPr>
      </w:pPr>
      <w:r>
        <w:rPr>
          <w:rFonts w:hint="eastAsia"/>
          <w:b/>
          <w:bCs/>
          <w:lang w:val="en-US" w:eastAsia="zh-CN"/>
        </w:rPr>
        <w:t xml:space="preserve">Proposal 2: </w:t>
      </w:r>
      <w:r>
        <w:rPr>
          <w:rFonts w:hint="eastAsia"/>
          <w:b w:val="0"/>
          <w:bCs w:val="0"/>
          <w:i/>
          <w:iCs/>
          <w:lang w:val="en-US" w:eastAsia="zh-CN"/>
        </w:rPr>
        <w:t>LBT type used by UE for UL transmission should be indicated by gNB.</w:t>
      </w:r>
    </w:p>
    <w:p>
      <w:pPr>
        <w:numPr>
          <w:ilvl w:val="255"/>
          <w:numId w:val="0"/>
        </w:numPr>
        <w:spacing w:before="137" w:beforeLines="50" w:after="137" w:afterLines="50" w:line="240" w:lineRule="auto"/>
        <w:jc w:val="both"/>
        <w:rPr>
          <w:rFonts w:hint="default"/>
          <w:lang w:val="en-US" w:eastAsia="zh-CN"/>
        </w:rPr>
      </w:pPr>
      <w:r>
        <w:rPr>
          <w:rFonts w:hint="eastAsia"/>
          <w:lang w:val="en-US" w:eastAsia="zh-CN"/>
        </w:rPr>
        <w:t>Besides, further discussion is needed on whether LBT priority should be indicated to UE. If Cat-4 LBT is indicated to UE for PUSCH transmission, it doesn</w:t>
      </w:r>
      <w:r>
        <w:rPr>
          <w:rFonts w:hint="default"/>
          <w:lang w:val="en-US" w:eastAsia="zh-CN"/>
        </w:rPr>
        <w:t>’</w:t>
      </w:r>
      <w:r>
        <w:rPr>
          <w:rFonts w:hint="eastAsia"/>
          <w:lang w:val="en-US" w:eastAsia="zh-CN"/>
        </w:rPr>
        <w:t xml:space="preserve">t seem necessary for gNB to indicate LBT priority to UE due to channel access priority class is selected according to the data. Further, lowest LBT priority class value has been specified/predefined for certain channels/signals such as SRS-only, RACH-only or PUCCH-only, then it is unnecessary to indicate LBT priority to UE again. The above contents have been agreed in NR-U SID. Therefore, we believe that LBT priority is unnecessary to be indicated to UE.  </w:t>
      </w:r>
    </w:p>
    <w:p>
      <w:pPr>
        <w:spacing w:before="137" w:beforeLines="50" w:after="137" w:afterLines="50"/>
        <w:jc w:val="both"/>
        <w:rPr>
          <w:rFonts w:hint="eastAsia"/>
          <w:i/>
          <w:iCs/>
          <w:highlight w:val="none"/>
          <w:lang w:val="en-US" w:eastAsia="zh-CN"/>
        </w:rPr>
      </w:pPr>
      <w:r>
        <w:rPr>
          <w:rFonts w:hint="eastAsia"/>
          <w:b/>
          <w:bCs/>
          <w:lang w:val="en-US" w:eastAsia="zh-CN"/>
        </w:rPr>
        <w:t xml:space="preserve">Proposal 3: </w:t>
      </w:r>
      <w:r>
        <w:rPr>
          <w:rFonts w:hint="eastAsia"/>
          <w:b w:val="0"/>
          <w:bCs w:val="0"/>
          <w:i/>
          <w:iCs/>
          <w:lang w:val="en-US" w:eastAsia="zh-CN"/>
        </w:rPr>
        <w:t xml:space="preserve">LBT priority is unnecessary to be indicated to UE when Cat-4 LBT is indicated for </w:t>
      </w:r>
      <w:r>
        <w:rPr>
          <w:rFonts w:hint="eastAsia"/>
          <w:i/>
          <w:iCs/>
          <w:highlight w:val="none"/>
          <w:lang w:val="en-US" w:eastAsia="zh-CN"/>
        </w:rPr>
        <w:t>SRS-only, RACH-only or PUCCH-only.</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CW</w:t>
      </w:r>
      <w:r>
        <w:rPr>
          <w:rFonts w:hint="eastAsia" w:ascii="Times New Roman" w:hAnsi="Times New Roman"/>
          <w:b/>
          <w:bCs w:val="0"/>
          <w:sz w:val="24"/>
          <w:szCs w:val="24"/>
          <w:lang w:val="en-US" w:eastAsia="zh-CN"/>
        </w:rPr>
        <w:t>S</w:t>
      </w:r>
      <w:r>
        <w:rPr>
          <w:rFonts w:ascii="Times New Roman" w:hAnsi="Times New Roman"/>
          <w:b/>
          <w:bCs w:val="0"/>
          <w:sz w:val="24"/>
          <w:szCs w:val="24"/>
          <w:lang w:val="en-US" w:eastAsia="zh-CN"/>
        </w:rPr>
        <w:t xml:space="preserve"> adjustment</w:t>
      </w:r>
    </w:p>
    <w:p>
      <w:pPr>
        <w:spacing w:before="137" w:beforeLines="50" w:after="137" w:afterLines="50" w:line="240" w:lineRule="auto"/>
        <w:jc w:val="both"/>
      </w:pPr>
      <w:r>
        <w:rPr>
          <w:rFonts w:hint="eastAsia" w:eastAsia="宋体"/>
          <w:lang w:val="en-US" w:eastAsia="zh-CN"/>
        </w:rPr>
        <w:t>I</w:t>
      </w:r>
      <w:r>
        <w:t>n LTE LAA, DL CWS is determined based on the NACK ratio Z of the HARQ-ACKs for the TBs in the DL reference subframe.</w:t>
      </w:r>
      <w:r>
        <w:rPr>
          <w:rFonts w:hint="eastAsia" w:eastAsia="宋体"/>
          <w:lang w:val="en-US" w:eastAsia="zh-CN"/>
        </w:rPr>
        <w:t xml:space="preserve"> </w:t>
      </w:r>
      <w:r>
        <w:t>UL CWS is determined based on the presence of ACK feedback for the TBs in the UL reference subframe.</w:t>
      </w:r>
    </w:p>
    <w:p>
      <w:pPr>
        <w:pStyle w:val="4"/>
        <w:rPr>
          <w:rFonts w:hint="eastAsia" w:ascii="Times New Roman" w:hAnsi="Times New Roman" w:eastAsia="宋体" w:cs="Times New Roman"/>
          <w:b/>
          <w:bCs w:val="0"/>
          <w:sz w:val="21"/>
          <w:szCs w:val="21"/>
          <w:u w:val="none"/>
          <w:lang w:val="en-US" w:eastAsia="zh-CN"/>
        </w:rPr>
      </w:pPr>
      <w:r>
        <w:rPr>
          <w:rFonts w:hint="eastAsia" w:ascii="Times New Roman" w:hAnsi="Times New Roman" w:eastAsia="宋体" w:cs="Times New Roman"/>
          <w:b/>
          <w:bCs w:val="0"/>
          <w:sz w:val="21"/>
          <w:szCs w:val="21"/>
          <w:u w:val="none"/>
          <w:lang w:val="en-US" w:eastAsia="zh-CN"/>
        </w:rPr>
        <w:t xml:space="preserve"> CBG based HARQ-ACK feedback</w:t>
      </w:r>
    </w:p>
    <w:p>
      <w:pPr>
        <w:tabs>
          <w:tab w:val="left" w:pos="450"/>
          <w:tab w:val="left" w:pos="720"/>
        </w:tabs>
        <w:spacing w:before="137" w:beforeLines="50" w:after="137" w:afterLines="50" w:line="240" w:lineRule="auto"/>
        <w:jc w:val="both"/>
      </w:pPr>
      <w:r>
        <w:rPr>
          <w:rFonts w:hint="eastAsia" w:eastAsia="宋体"/>
          <w:lang w:val="en-US" w:eastAsia="zh-CN"/>
        </w:rPr>
        <w:t xml:space="preserve">In NR, CBG based HARQ-ACK feedback is introduced. In NR-U, if CBG based HARQ-ACK feedback is configured, </w:t>
      </w:r>
      <w:r>
        <w:t>it needs to be further studied how to count multiple CBG-ACKs per TB into the ACK</w:t>
      </w:r>
      <w:r>
        <w:rPr>
          <w:rFonts w:hint="eastAsia" w:eastAsia="宋体"/>
          <w:lang w:val="en-US" w:eastAsia="zh-CN"/>
        </w:rPr>
        <w:t>/NACK</w:t>
      </w:r>
      <w:r>
        <w:t xml:space="preserve"> ratio Z in CWS adjustment.</w:t>
      </w:r>
      <w:r>
        <w:rPr>
          <w:rFonts w:hint="eastAsia" w:eastAsia="宋体"/>
          <w:lang w:val="en-US" w:eastAsia="zh-CN"/>
        </w:rPr>
        <w:t xml:space="preserve"> </w:t>
      </w:r>
      <w:r>
        <w:rPr>
          <w:rFonts w:eastAsia="宋体"/>
          <w:lang w:val="en-US" w:eastAsia="zh-CN"/>
        </w:rPr>
        <w:t>The following</w:t>
      </w:r>
      <w:r>
        <w:rPr>
          <w:rFonts w:hint="eastAsia" w:eastAsia="宋体"/>
          <w:lang w:val="en-US" w:eastAsia="zh-CN"/>
        </w:rPr>
        <w:t xml:space="preserve"> </w:t>
      </w:r>
      <w:r>
        <w:t>candidate solution</w:t>
      </w:r>
      <w:r>
        <w:rPr>
          <w:rFonts w:hint="eastAsia" w:eastAsia="宋体"/>
          <w:lang w:val="en-US" w:eastAsia="zh-CN"/>
        </w:rPr>
        <w:t>s can be considered.</w:t>
      </w:r>
    </w:p>
    <w:p>
      <w:pPr>
        <w:numPr>
          <w:ilvl w:val="0"/>
          <w:numId w:val="13"/>
        </w:numPr>
        <w:tabs>
          <w:tab w:val="left" w:pos="450"/>
          <w:tab w:val="left" w:pos="720"/>
        </w:tabs>
        <w:spacing w:before="137" w:beforeLines="50" w:after="137" w:afterLines="50" w:line="240" w:lineRule="auto"/>
        <w:ind w:left="454" w:hanging="454"/>
        <w:jc w:val="both"/>
      </w:pPr>
      <w:r>
        <w:rPr>
          <w:rFonts w:hint="eastAsia" w:eastAsia="宋体"/>
          <w:lang w:val="en-US" w:eastAsia="zh-CN"/>
        </w:rPr>
        <w:t>Alt-1: CBG level ACK/NACK is co</w:t>
      </w:r>
      <w:r>
        <w:rPr>
          <w:rFonts w:eastAsia="宋体"/>
          <w:lang w:val="en-US" w:eastAsia="zh-CN"/>
        </w:rPr>
        <w:t>n</w:t>
      </w:r>
      <w:r>
        <w:rPr>
          <w:rFonts w:hint="eastAsia" w:eastAsia="宋体"/>
          <w:lang w:val="en-US" w:eastAsia="zh-CN"/>
        </w:rPr>
        <w:t>verted into TB level ACK/NACK. Wherein, t</w:t>
      </w:r>
      <w:r>
        <w:t xml:space="preserve">he </w:t>
      </w:r>
      <w:r>
        <w:rPr>
          <w:rFonts w:hint="eastAsia" w:eastAsia="宋体"/>
          <w:lang w:val="en-US" w:eastAsia="zh-CN"/>
        </w:rPr>
        <w:t>ACK/N</w:t>
      </w:r>
      <w:r>
        <w:t xml:space="preserve">ACK ratio Z </w:t>
      </w:r>
      <w:r>
        <w:rPr>
          <w:rFonts w:hint="eastAsia" w:eastAsia="宋体"/>
          <w:lang w:val="en-US" w:eastAsia="zh-CN"/>
        </w:rPr>
        <w:t xml:space="preserve">is </w:t>
      </w:r>
      <w:r>
        <w:rPr>
          <w:rFonts w:eastAsia="宋体"/>
          <w:lang w:val="en-US" w:eastAsia="zh-CN"/>
        </w:rPr>
        <w:t>of</w:t>
      </w:r>
      <w:r>
        <w:rPr>
          <w:rFonts w:hint="eastAsia" w:eastAsia="宋体"/>
          <w:lang w:val="en-US" w:eastAsia="zh-CN"/>
        </w:rPr>
        <w:t xml:space="preserve"> TB level.</w:t>
      </w:r>
    </w:p>
    <w:p>
      <w:pPr>
        <w:numPr>
          <w:ilvl w:val="255"/>
          <w:numId w:val="0"/>
        </w:numPr>
        <w:tabs>
          <w:tab w:val="left" w:pos="450"/>
          <w:tab w:val="left" w:pos="720"/>
        </w:tabs>
        <w:spacing w:before="137" w:beforeLines="50" w:after="137" w:afterLines="50" w:line="240" w:lineRule="auto"/>
        <w:jc w:val="both"/>
      </w:pPr>
      <w:r>
        <w:rPr>
          <w:rFonts w:hint="eastAsia" w:eastAsia="宋体"/>
          <w:lang w:val="en-US" w:eastAsia="zh-CN"/>
        </w:rPr>
        <w:t xml:space="preserve">For example, if all CBG for the same TB within the reference slot are ACK/NACKs, the CBG level ACK/NACK for the TB is counted as a TB level ACK/NACK. If one of all CBG for the same TB within the reference slot is ACK/NACK, the CBG level ACK/NACK for the TB is counted as a TB level ACK/NACK. </w:t>
      </w:r>
    </w:p>
    <w:p>
      <w:pPr>
        <w:numPr>
          <w:ilvl w:val="0"/>
          <w:numId w:val="13"/>
        </w:numPr>
        <w:tabs>
          <w:tab w:val="left" w:pos="450"/>
          <w:tab w:val="left" w:pos="720"/>
        </w:tabs>
        <w:spacing w:before="137" w:beforeLines="50" w:after="137" w:afterLines="50" w:line="240" w:lineRule="auto"/>
        <w:ind w:left="454" w:hanging="454" w:firstLineChars="0"/>
        <w:jc w:val="both"/>
        <w:rPr>
          <w:rFonts w:eastAsia="宋体"/>
          <w:lang w:val="en-US" w:eastAsia="zh-CN"/>
        </w:rPr>
      </w:pPr>
      <w:r>
        <w:rPr>
          <w:rFonts w:hint="eastAsia" w:eastAsia="宋体"/>
          <w:sz w:val="21"/>
          <w:szCs w:val="22"/>
          <w:lang w:val="en-US" w:eastAsia="zh-CN"/>
        </w:rPr>
        <w:t>Alt</w:t>
      </w:r>
      <w:r>
        <w:rPr>
          <w:rFonts w:eastAsia="宋体"/>
          <w:lang w:val="en-US" w:eastAsia="zh-CN"/>
        </w:rPr>
        <w:t>-2: Redefinition of ACK/NACK ratio Z in order to include TB level ACK/NACK and CBG level ACK/NACK.</w:t>
      </w:r>
    </w:p>
    <w:p>
      <w:pPr>
        <w:numPr>
          <w:ilvl w:val="255"/>
          <w:numId w:val="0"/>
        </w:numPr>
        <w:tabs>
          <w:tab w:val="left" w:pos="450"/>
          <w:tab w:val="left" w:pos="720"/>
        </w:tabs>
        <w:spacing w:before="137" w:beforeLines="50" w:after="137" w:afterLines="50" w:line="240" w:lineRule="auto"/>
        <w:jc w:val="both"/>
        <w:rPr>
          <w:rFonts w:eastAsia="宋体"/>
          <w:lang w:val="en-US" w:eastAsia="zh-CN"/>
        </w:rPr>
      </w:pPr>
      <w:r>
        <w:rPr>
          <w:rFonts w:hint="eastAsia" w:eastAsia="宋体"/>
          <w:lang w:val="en-US" w:eastAsia="zh-CN"/>
        </w:rPr>
        <w:t xml:space="preserve">ACK/NACK ratio Z can be defined as </w:t>
      </w:r>
      <w:r>
        <w:rPr>
          <w:rFonts w:eastAsia="宋体"/>
          <w:lang w:val="en-US" w:eastAsia="zh-CN"/>
        </w:rPr>
        <w:t>the ratio of</w:t>
      </w:r>
      <w:r>
        <w:rPr>
          <w:rFonts w:hint="eastAsia" w:eastAsia="宋体"/>
          <w:lang w:val="en-US" w:eastAsia="zh-CN"/>
        </w:rPr>
        <w:t xml:space="preserve"> total number of ACK/NACK of TB and CBG</w:t>
      </w:r>
      <w:r>
        <w:rPr>
          <w:rFonts w:eastAsia="宋体"/>
          <w:lang w:val="en-US" w:eastAsia="zh-CN"/>
        </w:rPr>
        <w:t xml:space="preserve"> and</w:t>
      </w:r>
      <w:r>
        <w:rPr>
          <w:rFonts w:hint="eastAsia" w:eastAsia="宋体"/>
          <w:lang w:val="en-US" w:eastAsia="zh-CN"/>
        </w:rPr>
        <w:t xml:space="preserve"> total </w:t>
      </w:r>
      <w:r>
        <w:rPr>
          <w:rFonts w:eastAsia="宋体"/>
          <w:lang w:val="en-US" w:eastAsia="zh-CN"/>
        </w:rPr>
        <w:t xml:space="preserve">number </w:t>
      </w:r>
      <w:r>
        <w:rPr>
          <w:rFonts w:hint="eastAsia" w:eastAsia="宋体"/>
          <w:lang w:val="en-US" w:eastAsia="zh-CN"/>
        </w:rPr>
        <w:t>of transmitted TB and CBG within the reference slot/subframe.</w:t>
      </w:r>
    </w:p>
    <w:p>
      <w:pPr>
        <w:numPr>
          <w:ilvl w:val="255"/>
          <w:numId w:val="0"/>
        </w:numPr>
        <w:adjustRightInd w:val="0"/>
        <w:spacing w:before="137" w:beforeLines="50" w:after="137" w:afterLines="50" w:line="240" w:lineRule="auto"/>
        <w:jc w:val="both"/>
        <w:rPr>
          <w:i/>
          <w:iCs/>
          <w:lang w:val="en-US" w:eastAsia="zh-CN"/>
        </w:rPr>
      </w:pPr>
      <w:r>
        <w:rPr>
          <w:rFonts w:hint="eastAsia"/>
          <w:b/>
          <w:bCs/>
          <w:lang w:val="en-US" w:eastAsia="zh-CN"/>
        </w:rPr>
        <w:t xml:space="preserve">Proposal 4: </w:t>
      </w:r>
      <w:r>
        <w:rPr>
          <w:i/>
          <w:iCs/>
          <w:lang w:val="en-US" w:eastAsia="zh-CN"/>
        </w:rPr>
        <w:t xml:space="preserve">If CBG based HARQ-ACK feedback is configured for NR-U, </w:t>
      </w:r>
      <w:r>
        <w:rPr>
          <w:rFonts w:hint="eastAsia"/>
          <w:i/>
          <w:iCs/>
          <w:lang w:val="en-US" w:eastAsia="zh-CN"/>
        </w:rPr>
        <w:t>ACK/</w:t>
      </w:r>
      <w:r>
        <w:rPr>
          <w:i/>
          <w:iCs/>
          <w:lang w:val="en-US" w:eastAsia="zh-CN"/>
        </w:rPr>
        <w:t>NACK ratio Z can be counted/determined by one of the following methods:</w:t>
      </w:r>
    </w:p>
    <w:p>
      <w:pPr>
        <w:numPr>
          <w:ilvl w:val="0"/>
          <w:numId w:val="14"/>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Alt-1: CBG level ACK/NACK is co</w:t>
      </w:r>
      <w:r>
        <w:rPr>
          <w:rFonts w:eastAsia="宋体"/>
          <w:bCs/>
          <w:i/>
          <w:iCs/>
          <w:lang w:val="en-US" w:eastAsia="zh-CN"/>
        </w:rPr>
        <w:t>n</w:t>
      </w:r>
      <w:r>
        <w:rPr>
          <w:rFonts w:hint="eastAsia" w:eastAsia="宋体"/>
          <w:bCs/>
          <w:i/>
          <w:iCs/>
          <w:lang w:val="en-US" w:eastAsia="zh-CN"/>
        </w:rPr>
        <w:t>verted into TB level ACK/NACK. Wherein, the ACK/NACK ratio Z is of TB level.</w:t>
      </w:r>
    </w:p>
    <w:p>
      <w:pPr>
        <w:numPr>
          <w:ilvl w:val="0"/>
          <w:numId w:val="14"/>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Alt-2: Redefinition ACK/NACK ratio Z in order to include TB level ACK/NACK and CBG level ACK/NACK.</w:t>
      </w:r>
    </w:p>
    <w:p>
      <w:pPr>
        <w:pStyle w:val="4"/>
        <w:rPr>
          <w:rFonts w:hint="eastAsia" w:ascii="Times New Roman" w:hAnsi="Times New Roman" w:eastAsia="宋体" w:cs="Times New Roman"/>
          <w:b/>
          <w:bCs w:val="0"/>
          <w:sz w:val="21"/>
          <w:szCs w:val="21"/>
          <w:u w:val="none"/>
          <w:lang w:val="en-US" w:eastAsia="zh-CN"/>
        </w:rPr>
      </w:pPr>
      <w:r>
        <w:rPr>
          <w:rFonts w:hint="eastAsia" w:ascii="Times New Roman" w:hAnsi="Times New Roman" w:eastAsia="宋体" w:cs="Times New Roman"/>
          <w:b/>
          <w:bCs w:val="0"/>
          <w:sz w:val="21"/>
          <w:szCs w:val="21"/>
          <w:u w:val="none"/>
          <w:lang w:val="en-US" w:eastAsia="zh-CN"/>
        </w:rPr>
        <w:t xml:space="preserve"> CWS adjustment for Configured Grant</w:t>
      </w:r>
    </w:p>
    <w:p>
      <w:pPr>
        <w:tabs>
          <w:tab w:val="left" w:pos="450"/>
          <w:tab w:val="left" w:pos="720"/>
        </w:tabs>
        <w:spacing w:before="137" w:beforeLines="50" w:after="137" w:afterLines="50" w:line="240" w:lineRule="auto"/>
        <w:jc w:val="both"/>
        <w:rPr>
          <w:lang w:val="en-US" w:eastAsia="zh-CN"/>
        </w:rPr>
      </w:pPr>
      <w:r>
        <w:rPr>
          <w:rFonts w:eastAsia="宋体"/>
          <w:lang w:val="en-US" w:eastAsia="zh-CN"/>
        </w:rPr>
        <w:t>In</w:t>
      </w:r>
      <w:r>
        <w:rPr>
          <w:rFonts w:hint="eastAsia" w:eastAsia="宋体"/>
          <w:lang w:val="en-US" w:eastAsia="zh-CN"/>
        </w:rPr>
        <w:t xml:space="preserve"> </w:t>
      </w:r>
      <w:r>
        <w:rPr>
          <w:rFonts w:eastAsia="宋体"/>
          <w:lang w:val="en-US" w:eastAsia="zh-CN"/>
        </w:rPr>
        <w:t>configured</w:t>
      </w:r>
      <w:r>
        <w:t xml:space="preserve"> grant operation</w:t>
      </w:r>
      <w:r>
        <w:rPr>
          <w:rFonts w:hint="eastAsia" w:eastAsia="宋体"/>
          <w:lang w:val="en-US" w:eastAsia="zh-CN"/>
        </w:rPr>
        <w:t xml:space="preserve">, the CWS adjustment scheme specified in AUL of R14 eLAA can be used as the baseline, further enhancement can be considered for </w:t>
      </w:r>
      <w:r>
        <w:rPr>
          <w:rFonts w:eastAsia="宋体"/>
          <w:lang w:val="en-US" w:eastAsia="zh-CN"/>
        </w:rPr>
        <w:t>configured</w:t>
      </w:r>
      <w:r>
        <w:t xml:space="preserve"> grant</w:t>
      </w:r>
      <w:r>
        <w:rPr>
          <w:rFonts w:hint="eastAsia" w:eastAsia="宋体"/>
          <w:lang w:val="en-US" w:eastAsia="zh-CN"/>
        </w:rPr>
        <w:t xml:space="preserve"> </w:t>
      </w:r>
      <w:r>
        <w:rPr>
          <w:rFonts w:eastAsia="宋体"/>
          <w:lang w:val="en-US" w:eastAsia="zh-CN"/>
        </w:rPr>
        <w:t xml:space="preserve">specific </w:t>
      </w:r>
      <w:r>
        <w:rPr>
          <w:rFonts w:hint="eastAsia" w:eastAsia="宋体"/>
          <w:lang w:val="en-US" w:eastAsia="zh-CN"/>
        </w:rPr>
        <w:t xml:space="preserve">characteristic </w:t>
      </w:r>
      <w:r>
        <w:rPr>
          <w:rFonts w:eastAsia="宋体"/>
          <w:lang w:val="en-US" w:eastAsia="zh-CN"/>
        </w:rPr>
        <w:t>once</w:t>
      </w:r>
      <w:r>
        <w:rPr>
          <w:rFonts w:hint="eastAsia" w:eastAsia="宋体"/>
          <w:lang w:val="en-US" w:eastAsia="zh-CN"/>
        </w:rPr>
        <w:t xml:space="preserve"> the </w:t>
      </w:r>
      <w:r>
        <w:rPr>
          <w:rFonts w:eastAsia="宋体"/>
          <w:lang w:val="en-US" w:eastAsia="zh-CN"/>
        </w:rPr>
        <w:t>configured</w:t>
      </w:r>
      <w:r>
        <w:t xml:space="preserve"> grant</w:t>
      </w:r>
      <w:r>
        <w:rPr>
          <w:rFonts w:hint="eastAsia" w:eastAsia="宋体"/>
          <w:lang w:val="en-US" w:eastAsia="zh-CN"/>
        </w:rPr>
        <w:t xml:space="preserve"> UL transmission procedure for NR-U </w:t>
      </w:r>
      <w:r>
        <w:rPr>
          <w:rFonts w:eastAsia="宋体"/>
          <w:lang w:val="en-US" w:eastAsia="zh-CN"/>
        </w:rPr>
        <w:t>is defined</w:t>
      </w:r>
      <w:r>
        <w:rPr>
          <w:rFonts w:hint="eastAsia" w:eastAsia="宋体"/>
          <w:lang w:val="en-US" w:eastAsia="zh-CN"/>
        </w:rPr>
        <w:t xml:space="preserve">. </w:t>
      </w:r>
    </w:p>
    <w:p>
      <w:pPr>
        <w:spacing w:before="137" w:beforeLines="50" w:after="137" w:afterLines="50" w:line="240" w:lineRule="auto"/>
        <w:jc w:val="both"/>
        <w:rPr>
          <w:rFonts w:hint="eastAsia" w:eastAsia="宋体"/>
          <w:i/>
          <w:iCs/>
          <w:lang w:val="en-US" w:eastAsia="zh-CN"/>
        </w:rPr>
      </w:pPr>
      <w:r>
        <w:rPr>
          <w:rFonts w:hint="eastAsia"/>
          <w:b/>
          <w:bCs/>
          <w:lang w:val="en-US" w:eastAsia="zh-CN"/>
        </w:rPr>
        <w:t xml:space="preserve">Proposal 5: </w:t>
      </w:r>
      <w:r>
        <w:rPr>
          <w:rFonts w:hint="eastAsia"/>
          <w:i/>
          <w:iCs/>
          <w:lang w:val="en-US" w:eastAsia="zh-CN"/>
        </w:rPr>
        <w:t xml:space="preserve">For CWS adjustment for configured grant, </w:t>
      </w:r>
      <w:r>
        <w:rPr>
          <w:rFonts w:hint="eastAsia" w:eastAsia="宋体"/>
          <w:i/>
          <w:iCs/>
          <w:lang w:val="en-US" w:eastAsia="zh-CN"/>
        </w:rPr>
        <w:t>the CWS adjustment scheme specified in AUL of R14 eLAA can be used as a starting point for study.</w:t>
      </w:r>
    </w:p>
    <w:p>
      <w:pPr>
        <w:pStyle w:val="4"/>
        <w:rPr>
          <w:rFonts w:hint="default" w:ascii="Times New Roman" w:hAnsi="Times New Roman" w:eastAsia="宋体" w:cs="Times New Roman"/>
          <w:b/>
          <w:bCs w:val="0"/>
          <w:i w:val="0"/>
          <w:iCs w:val="0"/>
          <w:sz w:val="21"/>
          <w:szCs w:val="21"/>
          <w:u w:val="none"/>
          <w:lang w:val="en-US" w:eastAsia="zh-CN"/>
        </w:rPr>
      </w:pPr>
      <w:r>
        <w:rPr>
          <w:rFonts w:hint="eastAsia" w:ascii="Times New Roman" w:hAnsi="Times New Roman" w:eastAsia="宋体" w:cs="Times New Roman"/>
          <w:b/>
          <w:bCs w:val="0"/>
          <w:i w:val="0"/>
          <w:iCs w:val="0"/>
          <w:sz w:val="21"/>
          <w:szCs w:val="21"/>
          <w:u w:val="none"/>
          <w:lang w:val="en-US" w:eastAsia="zh-CN"/>
        </w:rPr>
        <w:t xml:space="preserve"> </w:t>
      </w:r>
      <w:r>
        <w:rPr>
          <w:rFonts w:hint="default" w:ascii="Times New Roman" w:hAnsi="Times New Roman" w:eastAsia="宋体" w:cs="Times New Roman"/>
          <w:b/>
          <w:bCs w:val="0"/>
          <w:i w:val="0"/>
          <w:iCs w:val="0"/>
          <w:sz w:val="21"/>
          <w:szCs w:val="21"/>
          <w:u w:val="none"/>
          <w:lang w:val="en-US" w:eastAsia="zh-CN"/>
        </w:rPr>
        <w:t>CWs adjustment for PRACH</w:t>
      </w:r>
    </w:p>
    <w:p>
      <w:pPr>
        <w:tabs>
          <w:tab w:val="left" w:pos="450"/>
          <w:tab w:val="left" w:pos="720"/>
        </w:tabs>
        <w:spacing w:before="137" w:beforeLines="50" w:after="137" w:afterLines="50" w:line="240" w:lineRule="auto"/>
        <w:jc w:val="both"/>
        <w:rPr>
          <w:rFonts w:hint="default" w:eastAsia="宋体"/>
          <w:sz w:val="20"/>
          <w:szCs w:val="20"/>
          <w:lang w:val="en-US" w:eastAsia="zh-CN"/>
        </w:rPr>
      </w:pPr>
      <w:r>
        <w:rPr>
          <w:rFonts w:hint="eastAsia" w:eastAsia="宋体"/>
          <w:b w:val="0"/>
          <w:bCs w:val="0"/>
          <w:sz w:val="20"/>
          <w:szCs w:val="20"/>
          <w:lang w:val="en-US" w:eastAsia="zh-CN"/>
        </w:rPr>
        <w:t xml:space="preserve">In standalone and dual connectivity scenarios where all UL channels will be transmitted on an unlicensed carrier, it is necessary to consider whether PRACH should be included within the CWs adustment mechanism or not. If yes, CWs adjustment rules for PRACH will need to be further studied and discussed. For instance, CWs for PRACH preamble can be adjusted based on the success or failure of reception of Msg 2. </w:t>
      </w:r>
    </w:p>
    <w:p>
      <w:pPr>
        <w:spacing w:before="137" w:beforeLines="50" w:after="137" w:afterLines="50"/>
        <w:jc w:val="both"/>
        <w:rPr>
          <w:rFonts w:hint="eastAsia"/>
          <w:b w:val="0"/>
          <w:bCs w:val="0"/>
          <w:i/>
          <w:iCs/>
          <w:lang w:val="en-US" w:eastAsia="zh-CN"/>
        </w:rPr>
      </w:pPr>
      <w:r>
        <w:rPr>
          <w:rFonts w:hint="eastAsia"/>
          <w:b/>
          <w:bCs/>
          <w:lang w:val="en-US" w:eastAsia="zh-CN"/>
        </w:rPr>
        <w:t xml:space="preserve">Proposal 6: </w:t>
      </w:r>
      <w:r>
        <w:rPr>
          <w:rFonts w:hint="eastAsia"/>
          <w:b w:val="0"/>
          <w:bCs w:val="0"/>
          <w:i/>
          <w:iCs/>
          <w:lang w:val="en-US" w:eastAsia="zh-CN"/>
        </w:rPr>
        <w:t xml:space="preserve">If CWs adjustment for PRACH is supported for NR-U, it is recommended that CWs for PRACH preamble can be adjusted based on the success or failure of reception of Msg 2. </w:t>
      </w:r>
    </w:p>
    <w:p>
      <w:pPr>
        <w:pStyle w:val="4"/>
        <w:spacing w:before="137" w:beforeLines="50" w:after="137" w:afterLines="50"/>
        <w:jc w:val="both"/>
        <w:rPr>
          <w:rFonts w:hint="eastAsia" w:ascii="Times New Roman" w:hAnsi="Times New Roman" w:eastAsia="宋体" w:cs="Times New Roman"/>
          <w:b/>
          <w:bCs w:val="0"/>
          <w:i w:val="0"/>
          <w:iCs w:val="0"/>
          <w:sz w:val="21"/>
          <w:szCs w:val="21"/>
          <w:u w:val="none"/>
          <w:lang w:val="en-US" w:eastAsia="zh-CN"/>
        </w:rPr>
      </w:pPr>
      <w:r>
        <w:rPr>
          <w:rFonts w:hint="eastAsia" w:ascii="Times New Roman" w:hAnsi="Times New Roman" w:eastAsia="宋体" w:cs="Times New Roman"/>
          <w:b/>
          <w:bCs w:val="0"/>
          <w:i w:val="0"/>
          <w:iCs w:val="0"/>
          <w:sz w:val="21"/>
          <w:szCs w:val="21"/>
          <w:u w:val="none"/>
          <w:lang w:val="en-US" w:eastAsia="zh-CN"/>
        </w:rPr>
        <w:t xml:space="preserve"> CWs adjustment for signal/channels without feedback</w:t>
      </w:r>
    </w:p>
    <w:p>
      <w:pPr>
        <w:tabs>
          <w:tab w:val="left" w:pos="450"/>
          <w:tab w:val="left" w:pos="720"/>
        </w:tabs>
        <w:spacing w:before="137" w:beforeLines="50" w:after="137" w:afterLines="50" w:line="240" w:lineRule="auto"/>
        <w:jc w:val="both"/>
        <w:rPr>
          <w:rFonts w:hint="eastAsia" w:eastAsia="宋体"/>
          <w:lang w:val="en-US" w:eastAsia="zh-CN"/>
        </w:rPr>
      </w:pPr>
      <w:r>
        <w:rPr>
          <w:rFonts w:hint="eastAsia" w:eastAsia="宋体"/>
          <w:i w:val="0"/>
          <w:iCs w:val="0"/>
          <w:lang w:val="en-US" w:eastAsia="zh-CN"/>
        </w:rPr>
        <w:t xml:space="preserve">For some signals/channels such as PUCCH, SRS and PUSCH without UL-SCH, since there is no feedback associated with them, it is recommended that the CWs can be adjusted based on the success or failure of reception of PDSCH transmission in the granted resources, which reuse </w:t>
      </w:r>
      <w:r>
        <w:rPr>
          <w:rFonts w:hint="eastAsia" w:eastAsia="宋体"/>
          <w:lang w:val="en-US" w:eastAsia="zh-CN"/>
        </w:rPr>
        <w:t>same mechanism as in LET-LAA for UL grant-only transmission.</w:t>
      </w:r>
    </w:p>
    <w:p>
      <w:pPr>
        <w:spacing w:before="137" w:beforeLines="50" w:after="137" w:afterLines="50"/>
        <w:jc w:val="both"/>
        <w:rPr>
          <w:rFonts w:hint="default"/>
          <w:b/>
          <w:bCs/>
          <w:i w:val="0"/>
          <w:iCs w:val="0"/>
          <w:sz w:val="21"/>
          <w:szCs w:val="22"/>
          <w:lang w:val="en-US" w:eastAsia="zh-CN"/>
        </w:rPr>
      </w:pPr>
      <w:r>
        <w:rPr>
          <w:rFonts w:hint="eastAsia"/>
          <w:b/>
          <w:bCs/>
          <w:i w:val="0"/>
          <w:sz w:val="20"/>
          <w:szCs w:val="20"/>
          <w:lang w:val="en-US" w:eastAsia="zh-CN"/>
        </w:rPr>
        <w:t xml:space="preserve">Proposal 7: </w:t>
      </w:r>
      <w:r>
        <w:rPr>
          <w:rFonts w:hint="eastAsia"/>
          <w:b w:val="0"/>
          <w:bCs w:val="0"/>
          <w:i/>
          <w:iCs/>
          <w:sz w:val="20"/>
          <w:szCs w:val="20"/>
          <w:lang w:val="en-US" w:eastAsia="zh-CN"/>
        </w:rPr>
        <w:t xml:space="preserve">For channels and signals without </w:t>
      </w:r>
      <w:r>
        <w:rPr>
          <w:rFonts w:hint="eastAsia" w:eastAsia="Times New Roman"/>
          <w:b w:val="0"/>
          <w:bCs w:val="0"/>
          <w:i/>
          <w:iCs/>
          <w:sz w:val="20"/>
          <w:szCs w:val="20"/>
          <w:lang w:val="en-US" w:eastAsia="zh-CN"/>
        </w:rPr>
        <w:t>f</w:t>
      </w:r>
      <w:r>
        <w:rPr>
          <w:rFonts w:hint="eastAsia"/>
          <w:b w:val="0"/>
          <w:bCs w:val="0"/>
          <w:i/>
          <w:iCs/>
          <w:sz w:val="20"/>
          <w:szCs w:val="20"/>
          <w:lang w:val="en-US" w:eastAsia="zh-CN"/>
        </w:rPr>
        <w:t>eedback</w:t>
      </w:r>
      <w:r>
        <w:rPr>
          <w:rFonts w:hint="eastAsia" w:eastAsia="Times New Roman"/>
          <w:b w:val="0"/>
          <w:bCs w:val="0"/>
          <w:i/>
          <w:iCs/>
          <w:sz w:val="20"/>
          <w:szCs w:val="20"/>
          <w:lang w:val="en-US" w:eastAsia="zh-CN"/>
        </w:rPr>
        <w:t xml:space="preserve"> such as PUCCH, SRS and PUSCH without UL-SCH</w:t>
      </w:r>
      <w:r>
        <w:rPr>
          <w:rFonts w:hint="eastAsia"/>
          <w:b w:val="0"/>
          <w:bCs w:val="0"/>
          <w:i/>
          <w:iCs/>
          <w:sz w:val="20"/>
          <w:szCs w:val="20"/>
          <w:lang w:val="en-US" w:eastAsia="zh-CN"/>
        </w:rPr>
        <w:t>,</w:t>
      </w:r>
      <w:r>
        <w:rPr>
          <w:rFonts w:hint="eastAsia" w:eastAsia="Times New Roman"/>
          <w:b w:val="0"/>
          <w:bCs w:val="0"/>
          <w:i/>
          <w:iCs/>
          <w:sz w:val="20"/>
          <w:szCs w:val="20"/>
          <w:lang w:val="en-US" w:eastAsia="zh-CN"/>
        </w:rPr>
        <w:t xml:space="preserve"> </w:t>
      </w:r>
      <w:r>
        <w:rPr>
          <w:rFonts w:hint="eastAsia"/>
          <w:b w:val="0"/>
          <w:bCs w:val="0"/>
          <w:i/>
          <w:iCs/>
          <w:sz w:val="20"/>
          <w:szCs w:val="20"/>
          <w:lang w:val="en-US" w:eastAsia="zh-CN"/>
        </w:rPr>
        <w:t>CW</w:t>
      </w:r>
      <w:r>
        <w:rPr>
          <w:rFonts w:hint="eastAsia" w:eastAsia="Times New Roman"/>
          <w:b w:val="0"/>
          <w:bCs w:val="0"/>
          <w:i/>
          <w:iCs/>
          <w:sz w:val="20"/>
          <w:szCs w:val="20"/>
          <w:lang w:val="en-US" w:eastAsia="zh-CN"/>
        </w:rPr>
        <w:t xml:space="preserve">s adjustment can reuse same mechanism as in LET-LAA for </w:t>
      </w:r>
      <w:r>
        <w:rPr>
          <w:rFonts w:hint="eastAsia"/>
          <w:b w:val="0"/>
          <w:bCs w:val="0"/>
          <w:i/>
          <w:iCs/>
          <w:sz w:val="20"/>
          <w:szCs w:val="20"/>
          <w:lang w:val="en-US" w:eastAsia="zh-CN"/>
        </w:rPr>
        <w:t xml:space="preserve">UL </w:t>
      </w:r>
      <w:r>
        <w:rPr>
          <w:rFonts w:hint="eastAsia" w:eastAsia="Times New Roman"/>
          <w:b w:val="0"/>
          <w:bCs w:val="0"/>
          <w:i/>
          <w:iCs/>
          <w:sz w:val="20"/>
          <w:szCs w:val="20"/>
          <w:lang w:val="en-US" w:eastAsia="zh-CN"/>
        </w:rPr>
        <w:t>grant-only transmission, e.g., based on the success or failure of reception of PDSCH transmission in the granted resources</w:t>
      </w:r>
      <w:r>
        <w:rPr>
          <w:rFonts w:hint="eastAsia"/>
          <w:b w:val="0"/>
          <w:bCs w:val="0"/>
          <w:i/>
          <w:iCs/>
          <w:sz w:val="20"/>
          <w:szCs w:val="20"/>
          <w:lang w:val="en-US" w:eastAsia="zh-CN"/>
        </w:rPr>
        <w:t>.</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LBT</w:t>
      </w:r>
      <w:r>
        <w:rPr>
          <w:rFonts w:hint="eastAsia" w:ascii="Times New Roman" w:hAnsi="Times New Roman"/>
          <w:b/>
          <w:bCs w:val="0"/>
          <w:sz w:val="24"/>
          <w:szCs w:val="24"/>
          <w:lang w:val="en-US" w:eastAsia="zh-CN"/>
        </w:rPr>
        <w:t xml:space="preserve"> for </w:t>
      </w:r>
      <w:r>
        <w:rPr>
          <w:rFonts w:ascii="Times New Roman" w:hAnsi="Times New Roman"/>
          <w:b/>
          <w:bCs w:val="0"/>
          <w:sz w:val="24"/>
          <w:szCs w:val="24"/>
          <w:lang w:val="en-US" w:eastAsia="zh-CN"/>
        </w:rPr>
        <w:t>FBE</w:t>
      </w:r>
    </w:p>
    <w:p>
      <w:pPr>
        <w:spacing w:before="137" w:beforeLines="50" w:after="137" w:afterLines="50" w:line="240" w:lineRule="auto"/>
        <w:jc w:val="both"/>
        <w:rPr>
          <w:rFonts w:hint="default"/>
          <w:b w:val="0"/>
          <w:bCs w:val="0"/>
          <w:sz w:val="20"/>
          <w:szCs w:val="20"/>
          <w:lang w:val="en-US" w:eastAsia="zh-CN"/>
        </w:rPr>
      </w:pPr>
      <w:r>
        <w:rPr>
          <w:rFonts w:hint="eastAsia"/>
          <w:b w:val="0"/>
          <w:bCs w:val="0"/>
          <w:sz w:val="20"/>
          <w:szCs w:val="20"/>
          <w:lang w:val="en-US" w:eastAsia="zh-CN"/>
        </w:rPr>
        <w:t>In the ETSI BRAN specifications [4], Frame Based Equipment (FBE) is equipment where the transmit/receive structure has a periodic timing with a periodicity equal to the fixed frame period as shown in Figure5. the initiating device such as gNB shall perform a one-shot LBT(Cat-2 LBT) at the begin of the fixed frame period, if the measured energy in channel is lower than the ED threshold, then gNB shall think channel to be idle and start transmission immediately.</w:t>
      </w:r>
    </w:p>
    <w:p>
      <w:pPr>
        <w:spacing w:before="120" w:after="120" w:line="240" w:lineRule="auto"/>
        <w:jc w:val="center"/>
      </w:pPr>
      <w:r>
        <w:drawing>
          <wp:inline distT="0" distB="0" distL="114300" distR="114300">
            <wp:extent cx="4767580" cy="2359025"/>
            <wp:effectExtent l="0" t="0" r="13970" b="317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4"/>
                    <a:stretch>
                      <a:fillRect/>
                    </a:stretch>
                  </pic:blipFill>
                  <pic:spPr>
                    <a:xfrm>
                      <a:off x="0" y="0"/>
                      <a:ext cx="4767580" cy="2359025"/>
                    </a:xfrm>
                    <a:prstGeom prst="rect">
                      <a:avLst/>
                    </a:prstGeom>
                    <a:noFill/>
                    <a:ln>
                      <a:noFill/>
                    </a:ln>
                  </pic:spPr>
                </pic:pic>
              </a:graphicData>
            </a:graphic>
          </wp:inline>
        </w:drawing>
      </w:r>
    </w:p>
    <w:p>
      <w:pPr>
        <w:spacing w:before="120" w:after="120" w:line="240" w:lineRule="auto"/>
        <w:jc w:val="center"/>
        <w:rPr>
          <w:rFonts w:hint="default" w:eastAsia="宋体"/>
          <w:b/>
          <w:bCs/>
          <w:lang w:val="en-US" w:eastAsia="zh-CN"/>
        </w:rPr>
      </w:pPr>
      <w:r>
        <w:rPr>
          <w:rFonts w:hint="eastAsia" w:eastAsia="宋体"/>
          <w:b/>
          <w:bCs/>
          <w:lang w:val="en-US" w:eastAsia="zh-CN"/>
        </w:rPr>
        <w:t>Figure5. Example of timing for Frame based Equipment</w:t>
      </w:r>
    </w:p>
    <w:p>
      <w:pPr>
        <w:spacing w:before="137" w:beforeLines="50" w:after="137" w:afterLines="50" w:line="240" w:lineRule="auto"/>
        <w:jc w:val="both"/>
        <w:rPr>
          <w:rFonts w:hint="eastAsia"/>
          <w:b w:val="0"/>
          <w:bCs w:val="0"/>
          <w:sz w:val="20"/>
          <w:szCs w:val="20"/>
          <w:lang w:val="en-US" w:eastAsia="zh-CN"/>
        </w:rPr>
      </w:pPr>
      <w:r>
        <w:rPr>
          <w:rFonts w:hint="eastAsia"/>
          <w:b w:val="0"/>
          <w:bCs w:val="0"/>
          <w:sz w:val="20"/>
          <w:szCs w:val="20"/>
          <w:lang w:val="en-US" w:eastAsia="zh-CN"/>
        </w:rPr>
        <w:t>For synchronous system, when multiple devices coexist in the operating channel, then it is possible that channel access is always successful since they perform LBT simultaneously. Although this has less specification impacts, there may be a risk of strong interference for gNBs within channel occupancy time.</w:t>
      </w:r>
    </w:p>
    <w:p>
      <w:pPr>
        <w:spacing w:before="137" w:beforeLines="50" w:after="137" w:afterLines="50" w:line="240" w:lineRule="auto"/>
        <w:jc w:val="both"/>
        <w:rPr>
          <w:lang w:val="en-US" w:eastAsia="zh-CN"/>
        </w:rPr>
      </w:pPr>
      <w:r>
        <w:rPr>
          <w:rFonts w:hint="eastAsia"/>
          <w:b w:val="0"/>
          <w:bCs w:val="0"/>
          <w:sz w:val="20"/>
          <w:szCs w:val="20"/>
          <w:lang w:val="en-US" w:eastAsia="zh-CN"/>
        </w:rPr>
        <w:t xml:space="preserve">For asynchronous system, LBT performed by a gNB may always blocked by the transmission from a nearby asynchronous gNB, which will result in low channel access probability and unfair channel access opportunity. In order to alleviate this issue, </w:t>
      </w:r>
      <w:r>
        <w:rPr>
          <w:rFonts w:hint="eastAsia"/>
          <w:lang w:val="en-US" w:eastAsia="zh-CN"/>
        </w:rPr>
        <w:t>multiple CCAs opportunities such as enhanced Cat</w:t>
      </w:r>
      <w:r>
        <w:rPr>
          <w:lang w:val="en-US" w:eastAsia="zh-CN"/>
        </w:rPr>
        <w:t xml:space="preserve"> </w:t>
      </w:r>
      <w:r>
        <w:rPr>
          <w:rFonts w:hint="eastAsia"/>
          <w:lang w:val="en-US" w:eastAsia="zh-CN"/>
        </w:rPr>
        <w:t>2 LBT can be introduced for FBE based LBT. Wherein, multiple CCAs opportunities is cell specific.</w:t>
      </w:r>
    </w:p>
    <w:p>
      <w:pPr>
        <w:spacing w:before="137" w:beforeLines="50" w:after="137" w:afterLines="50" w:line="240" w:lineRule="auto"/>
        <w:jc w:val="both"/>
        <w:rPr>
          <w:lang w:val="en-US" w:eastAsia="zh-CN"/>
        </w:rPr>
      </w:pPr>
      <w:r>
        <w:rPr>
          <w:rFonts w:hint="eastAsia"/>
          <w:lang w:val="en-US" w:eastAsia="zh-CN"/>
        </w:rPr>
        <w:t>For multiple CCAs method,</w:t>
      </w:r>
      <w:r>
        <w:rPr>
          <w:rFonts w:eastAsia="Arial Unicode MS"/>
          <w:kern w:val="2"/>
          <w:lang w:eastAsia="zh-CN"/>
        </w:rPr>
        <w:t xml:space="preserve"> in each CCA time window</w:t>
      </w:r>
      <w:r>
        <w:rPr>
          <w:rFonts w:hint="eastAsia" w:eastAsia="Arial Unicode MS"/>
          <w:kern w:val="2"/>
          <w:lang w:val="en-US" w:eastAsia="zh-CN"/>
        </w:rPr>
        <w:t xml:space="preserve"> (e.g., idle period as in Figure 5)</w:t>
      </w:r>
      <w:r>
        <w:rPr>
          <w:rFonts w:eastAsia="Arial Unicode MS"/>
          <w:kern w:val="2"/>
          <w:lang w:eastAsia="zh-CN"/>
        </w:rPr>
        <w:t xml:space="preserve">, there is more than one CCA time. </w:t>
      </w:r>
      <w:r>
        <w:rPr>
          <w:rFonts w:hint="eastAsia" w:eastAsia="Arial Unicode MS"/>
          <w:kern w:val="2"/>
          <w:lang w:val="en-US" w:eastAsia="zh-CN"/>
        </w:rPr>
        <w:t>Wherein, the starting position of CCA can be</w:t>
      </w:r>
      <w:r>
        <w:rPr>
          <w:rFonts w:eastAsia="Arial Unicode MS"/>
          <w:kern w:val="2"/>
          <w:lang w:eastAsia="zh-CN"/>
        </w:rPr>
        <w:t xml:space="preserve"> randomly selected in the pre</w:t>
      </w:r>
      <w:r>
        <w:rPr>
          <w:rFonts w:eastAsia="Arial Unicode MS"/>
          <w:kern w:val="2"/>
          <w:lang w:val="en-US" w:eastAsia="zh-CN"/>
        </w:rPr>
        <w:t>-</w:t>
      </w:r>
      <w:r>
        <w:rPr>
          <w:rFonts w:hint="eastAsia" w:eastAsia="Arial Unicode MS"/>
          <w:kern w:val="2"/>
          <w:lang w:val="en-US" w:eastAsia="zh-CN"/>
        </w:rPr>
        <w:t>allocated</w:t>
      </w:r>
      <w:r>
        <w:rPr>
          <w:rFonts w:eastAsia="Arial Unicode MS"/>
          <w:kern w:val="2"/>
          <w:lang w:eastAsia="zh-CN"/>
        </w:rPr>
        <w:t xml:space="preserve"> CCA detection time window</w:t>
      </w:r>
      <w:r>
        <w:rPr>
          <w:rFonts w:hint="eastAsia" w:eastAsia="Arial Unicode MS"/>
          <w:kern w:val="2"/>
          <w:lang w:val="en-US" w:eastAsia="zh-CN"/>
        </w:rPr>
        <w:t>(idle period)</w:t>
      </w:r>
      <w:r>
        <w:rPr>
          <w:rFonts w:eastAsia="Arial Unicode MS"/>
          <w:kern w:val="2"/>
          <w:lang w:eastAsia="zh-CN"/>
        </w:rPr>
        <w:t xml:space="preserve">. </w:t>
      </w:r>
      <w:r>
        <w:rPr>
          <w:rFonts w:eastAsia="Arial Unicode MS"/>
          <w:kern w:val="2"/>
          <w:lang w:val="en-US" w:eastAsia="zh-CN"/>
        </w:rPr>
        <w:t>I</w:t>
      </w:r>
      <w:r>
        <w:rPr>
          <w:rFonts w:eastAsia="Arial Unicode MS"/>
          <w:kern w:val="2"/>
          <w:lang w:eastAsia="zh-CN"/>
        </w:rPr>
        <w:t xml:space="preserve">f </w:t>
      </w:r>
      <w:r>
        <w:rPr>
          <w:rFonts w:hint="eastAsia" w:eastAsia="Arial Unicode MS"/>
          <w:kern w:val="2"/>
          <w:lang w:val="en-US" w:eastAsia="zh-CN"/>
        </w:rPr>
        <w:t>channel is said to busy on the first selected CCA position, then it can</w:t>
      </w:r>
      <w:r>
        <w:rPr>
          <w:rFonts w:eastAsia="Arial Unicode MS"/>
          <w:kern w:val="2"/>
          <w:lang w:eastAsia="zh-CN"/>
        </w:rPr>
        <w:t xml:space="preserve"> still randomly select</w:t>
      </w:r>
      <w:r>
        <w:rPr>
          <w:rFonts w:hint="eastAsia" w:eastAsia="Arial Unicode MS"/>
          <w:kern w:val="2"/>
          <w:lang w:val="en-US" w:eastAsia="zh-CN"/>
        </w:rPr>
        <w:t xml:space="preserve"> the next CCA detection position </w:t>
      </w:r>
      <w:r>
        <w:rPr>
          <w:rFonts w:eastAsia="Arial Unicode MS"/>
          <w:kern w:val="2"/>
          <w:lang w:eastAsia="zh-CN"/>
        </w:rPr>
        <w:t>in the rest of the CCA detection time window. And so on, until the CCA results indicate the channel is available, the UE would transmit UL data</w:t>
      </w:r>
      <w:r>
        <w:rPr>
          <w:rFonts w:eastAsia="Arial Unicode MS"/>
          <w:kern w:val="2"/>
          <w:lang w:val="en-US" w:eastAsia="zh-CN"/>
        </w:rPr>
        <w:t xml:space="preserve"> in the scheduled resources</w:t>
      </w:r>
      <w:r>
        <w:rPr>
          <w:rFonts w:hint="eastAsia" w:eastAsia="Arial Unicode MS"/>
          <w:kern w:val="2"/>
          <w:lang w:val="en-US" w:eastAsia="zh-CN"/>
        </w:rPr>
        <w:t xml:space="preserve"> or in the channel occupancy time</w:t>
      </w:r>
      <w:r>
        <w:rPr>
          <w:rFonts w:eastAsia="Arial Unicode MS"/>
          <w:kern w:val="2"/>
          <w:lang w:val="en-US" w:eastAsia="zh-CN"/>
        </w:rPr>
        <w:t>, as shown in Figure</w:t>
      </w:r>
      <w:r>
        <w:rPr>
          <w:rFonts w:hint="eastAsia" w:eastAsia="Arial Unicode MS"/>
          <w:kern w:val="2"/>
          <w:lang w:val="en-US" w:eastAsia="zh-CN"/>
        </w:rPr>
        <w:t xml:space="preserve"> 6</w:t>
      </w:r>
      <w:r>
        <w:rPr>
          <w:rFonts w:eastAsia="Arial Unicode MS"/>
          <w:kern w:val="2"/>
          <w:lang w:eastAsia="zh-CN"/>
        </w:rPr>
        <w:t>.</w:t>
      </w:r>
      <w:r>
        <w:rPr>
          <w:rFonts w:eastAsia="Arial Unicode MS"/>
          <w:kern w:val="2"/>
          <w:lang w:val="en-US" w:eastAsia="zh-CN"/>
        </w:rPr>
        <w:t xml:space="preserve"> </w:t>
      </w:r>
      <w:r>
        <w:rPr>
          <w:rFonts w:hint="eastAsia" w:eastAsia="Arial Unicode MS"/>
          <w:kern w:val="2"/>
          <w:lang w:val="en-US" w:eastAsia="zh-CN"/>
        </w:rPr>
        <w:t>Alternatively</w:t>
      </w:r>
      <w:r>
        <w:rPr>
          <w:rFonts w:eastAsia="Arial Unicode MS"/>
          <w:kern w:val="2"/>
          <w:lang w:eastAsia="zh-CN"/>
        </w:rPr>
        <w:t>, in a given CCA time window</w:t>
      </w:r>
      <w:r>
        <w:rPr>
          <w:rFonts w:hint="eastAsia" w:eastAsia="Arial Unicode MS"/>
          <w:kern w:val="2"/>
          <w:lang w:val="en-US" w:eastAsia="zh-CN"/>
        </w:rPr>
        <w:t xml:space="preserve"> (idle period)</w:t>
      </w:r>
      <w:r>
        <w:rPr>
          <w:rFonts w:eastAsia="Arial Unicode MS"/>
          <w:kern w:val="2"/>
          <w:lang w:eastAsia="zh-CN"/>
        </w:rPr>
        <w:t xml:space="preserve">, </w:t>
      </w:r>
      <w:r>
        <w:rPr>
          <w:rFonts w:hint="eastAsia" w:eastAsia="Arial Unicode MS"/>
          <w:kern w:val="2"/>
          <w:lang w:val="en-US" w:eastAsia="zh-CN"/>
        </w:rPr>
        <w:t xml:space="preserve">the starting position of CCA can be any time of CCA time window </w:t>
      </w:r>
      <w:r>
        <w:rPr>
          <w:rFonts w:eastAsia="Arial Unicode MS"/>
          <w:kern w:val="2"/>
          <w:lang w:val="en-US" w:eastAsia="zh-CN"/>
        </w:rPr>
        <w:t>as shown in Figure</w:t>
      </w:r>
      <w:r>
        <w:rPr>
          <w:rFonts w:hint="eastAsia" w:eastAsia="Arial Unicode MS"/>
          <w:kern w:val="2"/>
          <w:lang w:val="en-US" w:eastAsia="zh-CN"/>
        </w:rPr>
        <w:t xml:space="preserve"> 7</w:t>
      </w:r>
      <w:r>
        <w:rPr>
          <w:rFonts w:eastAsia="Arial Unicode MS"/>
          <w:kern w:val="2"/>
          <w:lang w:eastAsia="zh-CN"/>
        </w:rPr>
        <w:t>.</w:t>
      </w:r>
      <w:r>
        <w:rPr>
          <w:rFonts w:hint="eastAsia" w:eastAsia="Arial Unicode MS"/>
          <w:kern w:val="2"/>
          <w:lang w:val="en-US" w:eastAsia="zh-CN"/>
        </w:rPr>
        <w:t xml:space="preserve"> These two </w:t>
      </w:r>
      <w:r>
        <w:rPr>
          <w:rFonts w:eastAsia="Arial Unicode MS"/>
          <w:kern w:val="2"/>
          <w:lang w:val="en-US" w:eastAsia="zh-CN"/>
        </w:rPr>
        <w:t>method</w:t>
      </w:r>
      <w:r>
        <w:rPr>
          <w:rFonts w:hint="eastAsia" w:eastAsia="Arial Unicode MS"/>
          <w:kern w:val="2"/>
          <w:lang w:val="en-US" w:eastAsia="zh-CN"/>
        </w:rPr>
        <w:t>s</w:t>
      </w:r>
      <w:r>
        <w:rPr>
          <w:rFonts w:eastAsia="Arial Unicode MS"/>
          <w:kern w:val="2"/>
          <w:lang w:eastAsia="zh-CN"/>
        </w:rPr>
        <w:t xml:space="preserve"> can not only solve unfairness problem</w:t>
      </w:r>
      <w:r>
        <w:rPr>
          <w:rFonts w:eastAsia="Arial Unicode MS"/>
          <w:kern w:val="2"/>
          <w:lang w:val="en-US" w:eastAsia="zh-CN"/>
        </w:rPr>
        <w:t xml:space="preserve"> caused by </w:t>
      </w:r>
      <w:r>
        <w:rPr>
          <w:rFonts w:hint="eastAsia"/>
          <w:lang w:val="en-US" w:eastAsia="zh-CN"/>
        </w:rPr>
        <w:t>NR-U node timing differen</w:t>
      </w:r>
      <w:r>
        <w:rPr>
          <w:lang w:val="en-US" w:eastAsia="zh-CN"/>
        </w:rPr>
        <w:t xml:space="preserve">ce </w:t>
      </w:r>
      <w:r>
        <w:rPr>
          <w:rFonts w:eastAsia="Arial Unicode MS"/>
          <w:kern w:val="2"/>
          <w:lang w:eastAsia="zh-CN"/>
        </w:rPr>
        <w:t xml:space="preserve">but also increase the channel access opportunity of </w:t>
      </w:r>
      <w:r>
        <w:rPr>
          <w:rFonts w:eastAsia="Arial Unicode MS"/>
          <w:kern w:val="2"/>
          <w:lang w:val="en-US" w:eastAsia="zh-CN"/>
        </w:rPr>
        <w:t>NR-U nodes</w:t>
      </w:r>
      <w:r>
        <w:rPr>
          <w:rFonts w:eastAsia="Arial Unicode MS"/>
          <w:kern w:val="2"/>
          <w:lang w:eastAsia="zh-CN"/>
        </w:rPr>
        <w:t>.</w:t>
      </w:r>
    </w:p>
    <w:p>
      <w:pPr>
        <w:tabs>
          <w:tab w:val="left" w:pos="450"/>
          <w:tab w:val="left" w:pos="720"/>
        </w:tabs>
        <w:spacing w:before="120" w:after="120" w:line="240" w:lineRule="auto"/>
        <w:jc w:val="center"/>
      </w:pPr>
      <w:r>
        <w:object>
          <v:shape id="_x0000_i1029" o:spt="75" type="#_x0000_t75" style="height:77.5pt;width:293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spacing w:before="120" w:after="120" w:line="240" w:lineRule="auto"/>
        <w:jc w:val="center"/>
        <w:rPr>
          <w:rFonts w:eastAsia="宋体"/>
          <w:b/>
          <w:bCs/>
          <w:lang w:val="en-US" w:eastAsia="zh-CN"/>
        </w:rPr>
      </w:pPr>
      <w:r>
        <w:rPr>
          <w:rFonts w:eastAsia="宋体"/>
          <w:b/>
          <w:bCs/>
          <w:lang w:val="en-US" w:eastAsia="zh-CN"/>
        </w:rPr>
        <w:t>Figure</w:t>
      </w:r>
      <w:r>
        <w:rPr>
          <w:rFonts w:hint="eastAsia" w:eastAsia="宋体"/>
          <w:b/>
          <w:bCs/>
          <w:lang w:val="en-US" w:eastAsia="zh-CN"/>
        </w:rPr>
        <w:t>6.</w:t>
      </w:r>
      <w:r>
        <w:rPr>
          <w:rFonts w:eastAsia="宋体"/>
          <w:b/>
          <w:bCs/>
          <w:lang w:val="en-US" w:eastAsia="zh-CN"/>
        </w:rPr>
        <w:t xml:space="preserve"> </w:t>
      </w:r>
      <w:r>
        <w:rPr>
          <w:rFonts w:hint="eastAsia" w:eastAsia="宋体"/>
          <w:b/>
          <w:bCs/>
          <w:lang w:val="en-US" w:eastAsia="zh-CN"/>
        </w:rPr>
        <w:t xml:space="preserve">Randomly selection the starting position of CCA in the pre-allocated CCA time window </w:t>
      </w:r>
      <w:r>
        <w:rPr>
          <w:rFonts w:eastAsia="宋体"/>
          <w:b/>
          <w:bCs/>
          <w:lang w:val="en-US" w:eastAsia="zh-CN"/>
        </w:rPr>
        <w:t>for FBE</w:t>
      </w:r>
    </w:p>
    <w:p>
      <w:pPr>
        <w:spacing w:before="120" w:after="120" w:line="240" w:lineRule="auto"/>
        <w:jc w:val="center"/>
        <w:rPr>
          <w:rFonts w:eastAsia="宋体"/>
          <w:lang w:val="en-US" w:eastAsia="zh-CN"/>
        </w:rPr>
      </w:pPr>
    </w:p>
    <w:p>
      <w:pPr>
        <w:spacing w:before="120" w:after="120" w:line="240" w:lineRule="auto"/>
        <w:jc w:val="center"/>
        <w:rPr>
          <w:rFonts w:eastAsia="宋体"/>
          <w:lang w:val="en-US" w:eastAsia="zh-CN"/>
        </w:rPr>
      </w:pPr>
      <w:r>
        <w:object>
          <v:shape id="_x0000_i1030" o:spt="75" type="#_x0000_t75" style="height:93.5pt;width:297.5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30" r:id="rId17">
            <o:LockedField>false</o:LockedField>
          </o:OLEObject>
        </w:object>
      </w:r>
    </w:p>
    <w:p>
      <w:pPr>
        <w:spacing w:before="120" w:after="120" w:line="240" w:lineRule="auto"/>
        <w:jc w:val="center"/>
        <w:rPr>
          <w:rFonts w:eastAsia="宋体"/>
          <w:b/>
          <w:bCs/>
          <w:lang w:val="en-US" w:eastAsia="zh-CN"/>
        </w:rPr>
      </w:pPr>
      <w:r>
        <w:rPr>
          <w:rFonts w:eastAsia="宋体"/>
          <w:b/>
          <w:bCs/>
          <w:lang w:val="en-US" w:eastAsia="zh-CN"/>
        </w:rPr>
        <w:t>Figure</w:t>
      </w:r>
      <w:r>
        <w:rPr>
          <w:rFonts w:hint="eastAsia" w:eastAsia="宋体"/>
          <w:b/>
          <w:bCs/>
          <w:lang w:val="en-US" w:eastAsia="zh-CN"/>
        </w:rPr>
        <w:t>7.</w:t>
      </w:r>
      <w:r>
        <w:rPr>
          <w:rFonts w:eastAsia="宋体"/>
          <w:b/>
          <w:bCs/>
          <w:lang w:val="en-US" w:eastAsia="zh-CN"/>
        </w:rPr>
        <w:t xml:space="preserve"> </w:t>
      </w:r>
      <w:r>
        <w:rPr>
          <w:rFonts w:hint="eastAsia" w:eastAsia="宋体"/>
          <w:b/>
          <w:bCs/>
          <w:lang w:val="en-US" w:eastAsia="zh-CN"/>
        </w:rPr>
        <w:t xml:space="preserve">Randomly selection the starting position of CCA in theCCA time window </w:t>
      </w:r>
      <w:r>
        <w:rPr>
          <w:rFonts w:eastAsia="宋体"/>
          <w:b/>
          <w:bCs/>
          <w:lang w:val="en-US" w:eastAsia="zh-CN"/>
        </w:rPr>
        <w:t>for FBE</w:t>
      </w:r>
    </w:p>
    <w:p>
      <w:pPr>
        <w:spacing w:before="137" w:beforeLines="50" w:after="137" w:afterLines="50" w:line="240" w:lineRule="auto"/>
        <w:jc w:val="both"/>
        <w:rPr>
          <w:rFonts w:eastAsia="宋体"/>
          <w:lang w:val="en-US" w:eastAsia="zh-CN"/>
        </w:rPr>
      </w:pPr>
      <w:r>
        <w:rPr>
          <w:rFonts w:eastAsia="宋体"/>
          <w:lang w:eastAsia="zh-CN"/>
        </w:rPr>
        <w:t xml:space="preserve">Evaluation results are provided for an indoor deployment of </w:t>
      </w:r>
      <w:r>
        <w:rPr>
          <w:rFonts w:hint="eastAsia" w:eastAsia="宋体"/>
          <w:lang w:val="en-US" w:eastAsia="zh-CN"/>
        </w:rPr>
        <w:t>NR-U</w:t>
      </w:r>
      <w:r>
        <w:rPr>
          <w:rFonts w:hint="eastAsia" w:eastAsia="宋体"/>
          <w:lang w:eastAsia="zh-CN"/>
        </w:rPr>
        <w:t>+</w:t>
      </w:r>
      <w:r>
        <w:rPr>
          <w:rFonts w:hint="eastAsia" w:eastAsia="宋体"/>
          <w:lang w:val="en-US" w:eastAsia="zh-CN"/>
        </w:rPr>
        <w:t>NR-U</w:t>
      </w:r>
      <w:r>
        <w:rPr>
          <w:rFonts w:eastAsia="宋体"/>
          <w:lang w:eastAsia="zh-CN"/>
        </w:rPr>
        <w:t xml:space="preserve"> with FTP traffic</w:t>
      </w:r>
      <w:r>
        <w:rPr>
          <w:rFonts w:hint="eastAsia" w:eastAsia="宋体"/>
          <w:lang w:val="en-US" w:eastAsia="zh-CN"/>
        </w:rPr>
        <w:t xml:space="preserve"> and </w:t>
      </w:r>
      <w:r>
        <w:rPr>
          <w:rFonts w:hint="eastAsia"/>
          <w:lang w:val="en-US" w:eastAsia="zh-CN"/>
        </w:rPr>
        <w:t>compare the fairness performance between enhanced Cat-2 LBT such as multiple CCA opportunity with Cat-2 LBT through simulations.</w:t>
      </w:r>
    </w:p>
    <w:p>
      <w:pPr>
        <w:spacing w:before="120" w:after="120" w:line="240" w:lineRule="auto"/>
        <w:jc w:val="center"/>
        <w:rPr>
          <w:rFonts w:eastAsia="宋体"/>
          <w:b/>
          <w:bCs/>
          <w:lang w:eastAsia="zh-CN"/>
        </w:rPr>
      </w:pPr>
      <w:r>
        <w:rPr>
          <w:rFonts w:hint="eastAsia" w:eastAsia="宋体"/>
          <w:b/>
          <w:bCs/>
          <w:lang w:eastAsia="zh-CN"/>
        </w:rPr>
        <w:t>Table</w:t>
      </w:r>
      <w:r>
        <w:rPr>
          <w:rFonts w:hint="eastAsia" w:eastAsia="宋体"/>
          <w:b/>
          <w:bCs/>
          <w:lang w:val="en-US" w:eastAsia="zh-CN"/>
        </w:rPr>
        <w:t xml:space="preserve">1. </w:t>
      </w:r>
      <w:r>
        <w:rPr>
          <w:rFonts w:eastAsia="宋体"/>
          <w:b/>
          <w:bCs/>
          <w:lang w:eastAsia="zh-CN"/>
        </w:rPr>
        <w:t>F</w:t>
      </w:r>
      <w:r>
        <w:rPr>
          <w:rFonts w:hint="eastAsia" w:eastAsia="宋体"/>
          <w:b/>
          <w:bCs/>
          <w:lang w:eastAsia="zh-CN"/>
        </w:rPr>
        <w:t xml:space="preserve">airness </w:t>
      </w:r>
      <w:r>
        <w:rPr>
          <w:rFonts w:eastAsia="宋体"/>
          <w:b/>
          <w:bCs/>
          <w:lang w:eastAsia="zh-CN"/>
        </w:rPr>
        <w:t>comparison</w:t>
      </w:r>
      <w:r>
        <w:rPr>
          <w:rFonts w:hint="eastAsia" w:eastAsia="宋体"/>
          <w:b/>
          <w:bCs/>
          <w:lang w:eastAsia="zh-CN"/>
        </w:rPr>
        <w:t xml:space="preserve"> </w:t>
      </w:r>
      <w:r>
        <w:rPr>
          <w:rFonts w:hint="eastAsia" w:eastAsia="宋体"/>
          <w:b/>
          <w:bCs/>
          <w:lang w:val="en-US" w:eastAsia="zh-CN"/>
        </w:rPr>
        <w:t xml:space="preserve">between enhanced Cat-2 LBT </w:t>
      </w:r>
      <w:r>
        <w:rPr>
          <w:rFonts w:eastAsia="宋体"/>
          <w:b/>
          <w:bCs/>
          <w:lang w:val="en-US" w:eastAsia="zh-CN"/>
        </w:rPr>
        <w:t>and</w:t>
      </w:r>
      <w:r>
        <w:rPr>
          <w:rFonts w:hint="eastAsia" w:eastAsia="宋体"/>
          <w:b/>
          <w:bCs/>
          <w:lang w:val="en-US" w:eastAsia="zh-CN"/>
        </w:rPr>
        <w:t xml:space="preserve"> Cat-2 LBT</w:t>
      </w:r>
    </w:p>
    <w:tbl>
      <w:tblPr>
        <w:tblStyle w:val="33"/>
        <w:tblW w:w="8795" w:type="dxa"/>
        <w:jc w:val="center"/>
        <w:tblInd w:w="-2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15"/>
        <w:gridCol w:w="720"/>
        <w:gridCol w:w="1360"/>
        <w:gridCol w:w="1260"/>
        <w:gridCol w:w="1440"/>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3035" w:type="dxa"/>
            <w:gridSpan w:val="2"/>
            <w:vMerge w:val="restart"/>
            <w:vAlign w:val="center"/>
          </w:tcPr>
          <w:p>
            <w:pPr>
              <w:snapToGrid w:val="0"/>
              <w:spacing w:after="0" w:line="240" w:lineRule="auto"/>
              <w:jc w:val="center"/>
              <w:rPr>
                <w:rFonts w:eastAsia="宋体"/>
              </w:rPr>
            </w:pPr>
            <w:r>
              <w:rPr>
                <w:rFonts w:eastAsia="宋体"/>
                <w:b/>
                <w:lang w:val="en-US" w:eastAsia="zh-CN"/>
              </w:rPr>
              <w:t>Reported parameters</w:t>
            </w:r>
          </w:p>
        </w:tc>
        <w:tc>
          <w:tcPr>
            <w:tcW w:w="2620" w:type="dxa"/>
            <w:gridSpan w:val="2"/>
            <w:vAlign w:val="center"/>
          </w:tcPr>
          <w:p>
            <w:pPr>
              <w:snapToGrid w:val="0"/>
              <w:spacing w:after="0" w:line="240" w:lineRule="auto"/>
              <w:jc w:val="center"/>
              <w:rPr>
                <w:rFonts w:eastAsia="宋体"/>
                <w:b/>
                <w:bCs/>
                <w:lang w:val="en-US" w:eastAsia="zh-CN"/>
              </w:rPr>
            </w:pPr>
            <w:r>
              <w:rPr>
                <w:rFonts w:eastAsia="宋体"/>
                <w:iCs/>
                <w:lang w:val="en-US" w:eastAsia="zh-CN"/>
              </w:rPr>
              <w:t>Cat 2 LBT</w:t>
            </w:r>
          </w:p>
        </w:tc>
        <w:tc>
          <w:tcPr>
            <w:tcW w:w="3140" w:type="dxa"/>
            <w:gridSpan w:val="2"/>
            <w:vAlign w:val="center"/>
          </w:tcPr>
          <w:p>
            <w:pPr>
              <w:snapToGrid w:val="0"/>
              <w:spacing w:after="0" w:line="240" w:lineRule="auto"/>
              <w:jc w:val="center"/>
              <w:rPr>
                <w:b/>
                <w:bCs/>
                <w:lang w:val="en-US" w:eastAsia="zh-CN"/>
              </w:rPr>
            </w:pPr>
            <w:r>
              <w:rPr>
                <w:rFonts w:eastAsia="宋体"/>
                <w:iCs/>
                <w:lang w:val="en-US" w:eastAsia="zh-CN"/>
              </w:rPr>
              <w:t>Enhanced Cat 2 LBT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 w:hRule="atLeast"/>
          <w:jc w:val="center"/>
        </w:trPr>
        <w:tc>
          <w:tcPr>
            <w:tcW w:w="3035" w:type="dxa"/>
            <w:gridSpan w:val="2"/>
            <w:vMerge w:val="continue"/>
            <w:vAlign w:val="center"/>
          </w:tcPr>
          <w:p>
            <w:pPr>
              <w:snapToGrid w:val="0"/>
              <w:spacing w:after="0" w:line="240" w:lineRule="auto"/>
              <w:jc w:val="center"/>
            </w:pPr>
          </w:p>
        </w:tc>
        <w:tc>
          <w:tcPr>
            <w:tcW w:w="136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A</w:t>
            </w:r>
          </w:p>
        </w:tc>
        <w:tc>
          <w:tcPr>
            <w:tcW w:w="126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B</w:t>
            </w:r>
          </w:p>
        </w:tc>
        <w:tc>
          <w:tcPr>
            <w:tcW w:w="144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A</w:t>
            </w:r>
          </w:p>
        </w:tc>
        <w:tc>
          <w:tcPr>
            <w:tcW w:w="170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restart"/>
            <w:vAlign w:val="center"/>
          </w:tcPr>
          <w:p>
            <w:pPr>
              <w:pStyle w:val="24"/>
              <w:snapToGrid w:val="0"/>
              <w:spacing w:before="0" w:beforeAutospacing="0" w:after="0" w:afterAutospacing="0" w:line="240" w:lineRule="auto"/>
              <w:jc w:val="center"/>
              <w:rPr>
                <w:rFonts w:eastAsia="宋体"/>
                <w:sz w:val="20"/>
                <w:szCs w:val="20"/>
              </w:rPr>
            </w:pPr>
            <w:r>
              <w:rPr>
                <w:rFonts w:eastAsia="宋体"/>
                <w:b/>
                <w:sz w:val="20"/>
                <w:szCs w:val="20"/>
              </w:rPr>
              <w:t xml:space="preserve">DL:   </w:t>
            </w:r>
            <w:r>
              <w:rPr>
                <w:rFonts w:eastAsia="宋体"/>
                <w:sz w:val="20"/>
                <w:szCs w:val="20"/>
              </w:rPr>
              <w:t>UPT CDF [Mbps]</w:t>
            </w: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w:t>
            </w:r>
          </w:p>
        </w:tc>
        <w:tc>
          <w:tcPr>
            <w:tcW w:w="1360" w:type="dxa"/>
            <w:vAlign w:val="center"/>
          </w:tcPr>
          <w:p>
            <w:pPr>
              <w:snapToGrid w:val="0"/>
              <w:spacing w:after="0" w:line="240" w:lineRule="auto"/>
              <w:jc w:val="center"/>
              <w:rPr>
                <w:lang w:val="en-US" w:eastAsia="zh-CN"/>
              </w:rPr>
            </w:pPr>
            <w:r>
              <w:rPr>
                <w:lang w:val="en-US" w:eastAsia="zh-CN"/>
              </w:rPr>
              <w:t>33.9</w:t>
            </w:r>
          </w:p>
        </w:tc>
        <w:tc>
          <w:tcPr>
            <w:tcW w:w="1260" w:type="dxa"/>
            <w:vAlign w:val="center"/>
          </w:tcPr>
          <w:p>
            <w:pPr>
              <w:snapToGrid w:val="0"/>
              <w:spacing w:after="0" w:line="240" w:lineRule="auto"/>
              <w:jc w:val="center"/>
              <w:rPr>
                <w:lang w:val="en-US" w:eastAsia="zh-CN"/>
              </w:rPr>
            </w:pPr>
            <w:r>
              <w:rPr>
                <w:lang w:val="en-US" w:eastAsia="zh-CN"/>
              </w:rPr>
              <w:t>18.0</w:t>
            </w:r>
          </w:p>
        </w:tc>
        <w:tc>
          <w:tcPr>
            <w:tcW w:w="1440" w:type="dxa"/>
            <w:vAlign w:val="center"/>
          </w:tcPr>
          <w:p>
            <w:pPr>
              <w:snapToGrid w:val="0"/>
              <w:spacing w:after="0" w:line="240" w:lineRule="auto"/>
              <w:jc w:val="center"/>
              <w:rPr>
                <w:lang w:val="en-US" w:eastAsia="zh-CN"/>
              </w:rPr>
            </w:pPr>
            <w:r>
              <w:rPr>
                <w:lang w:val="en-US" w:eastAsia="zh-CN"/>
              </w:rPr>
              <w:t>22.9</w:t>
            </w:r>
          </w:p>
        </w:tc>
        <w:tc>
          <w:tcPr>
            <w:tcW w:w="1700" w:type="dxa"/>
            <w:vAlign w:val="center"/>
          </w:tcPr>
          <w:p>
            <w:pPr>
              <w:snapToGrid w:val="0"/>
              <w:spacing w:after="0" w:line="240" w:lineRule="auto"/>
              <w:jc w:val="center"/>
              <w:rPr>
                <w:lang w:val="en-US" w:eastAsia="zh-CN"/>
              </w:rPr>
            </w:pPr>
            <w:r>
              <w:rPr>
                <w:lang w:val="en-US" w:eastAsia="zh-CN"/>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50%</w:t>
            </w:r>
          </w:p>
        </w:tc>
        <w:tc>
          <w:tcPr>
            <w:tcW w:w="1360" w:type="dxa"/>
            <w:vAlign w:val="center"/>
          </w:tcPr>
          <w:p>
            <w:pPr>
              <w:snapToGrid w:val="0"/>
              <w:spacing w:after="0" w:line="240" w:lineRule="auto"/>
              <w:jc w:val="center"/>
              <w:rPr>
                <w:lang w:val="en-US" w:eastAsia="zh-CN"/>
              </w:rPr>
            </w:pPr>
            <w:r>
              <w:rPr>
                <w:lang w:val="en-US" w:eastAsia="zh-CN"/>
              </w:rPr>
              <w:t>82.0</w:t>
            </w:r>
          </w:p>
        </w:tc>
        <w:tc>
          <w:tcPr>
            <w:tcW w:w="1260" w:type="dxa"/>
            <w:vAlign w:val="center"/>
          </w:tcPr>
          <w:p>
            <w:pPr>
              <w:snapToGrid w:val="0"/>
              <w:spacing w:after="0" w:line="240" w:lineRule="auto"/>
              <w:jc w:val="center"/>
              <w:rPr>
                <w:lang w:val="en-US" w:eastAsia="zh-CN"/>
              </w:rPr>
            </w:pPr>
            <w:r>
              <w:rPr>
                <w:lang w:val="en-US" w:eastAsia="zh-CN"/>
              </w:rPr>
              <w:t>74.2</w:t>
            </w:r>
          </w:p>
        </w:tc>
        <w:tc>
          <w:tcPr>
            <w:tcW w:w="1440" w:type="dxa"/>
            <w:vAlign w:val="center"/>
          </w:tcPr>
          <w:p>
            <w:pPr>
              <w:snapToGrid w:val="0"/>
              <w:spacing w:after="0" w:line="240" w:lineRule="auto"/>
              <w:jc w:val="center"/>
              <w:rPr>
                <w:lang w:val="en-US" w:eastAsia="zh-CN"/>
              </w:rPr>
            </w:pPr>
            <w:r>
              <w:rPr>
                <w:lang w:val="en-US" w:eastAsia="zh-CN"/>
              </w:rPr>
              <w:t>63.2</w:t>
            </w:r>
          </w:p>
        </w:tc>
        <w:tc>
          <w:tcPr>
            <w:tcW w:w="1700" w:type="dxa"/>
            <w:vAlign w:val="center"/>
          </w:tcPr>
          <w:p>
            <w:pPr>
              <w:snapToGrid w:val="0"/>
              <w:spacing w:after="0" w:line="240" w:lineRule="auto"/>
              <w:jc w:val="center"/>
              <w:rPr>
                <w:lang w:val="en-US" w:eastAsia="zh-CN"/>
              </w:rPr>
            </w:pPr>
            <w:r>
              <w:rPr>
                <w:lang w:val="en-US" w:eastAsia="zh-CN"/>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95%</w:t>
            </w:r>
          </w:p>
        </w:tc>
        <w:tc>
          <w:tcPr>
            <w:tcW w:w="1360" w:type="dxa"/>
            <w:vAlign w:val="center"/>
          </w:tcPr>
          <w:p>
            <w:pPr>
              <w:snapToGrid w:val="0"/>
              <w:spacing w:after="0" w:line="240" w:lineRule="auto"/>
              <w:jc w:val="center"/>
              <w:rPr>
                <w:lang w:val="en-US" w:eastAsia="zh-CN"/>
              </w:rPr>
            </w:pPr>
            <w:r>
              <w:rPr>
                <w:lang w:val="en-US" w:eastAsia="zh-CN"/>
              </w:rPr>
              <w:t>141.8</w:t>
            </w:r>
          </w:p>
        </w:tc>
        <w:tc>
          <w:tcPr>
            <w:tcW w:w="1260" w:type="dxa"/>
            <w:vAlign w:val="center"/>
          </w:tcPr>
          <w:p>
            <w:pPr>
              <w:snapToGrid w:val="0"/>
              <w:spacing w:after="0" w:line="240" w:lineRule="auto"/>
              <w:jc w:val="center"/>
              <w:rPr>
                <w:lang w:val="en-US" w:eastAsia="zh-CN"/>
              </w:rPr>
            </w:pPr>
            <w:r>
              <w:rPr>
                <w:lang w:val="en-US" w:eastAsia="zh-CN"/>
              </w:rPr>
              <w:t>129.4</w:t>
            </w:r>
          </w:p>
        </w:tc>
        <w:tc>
          <w:tcPr>
            <w:tcW w:w="1440" w:type="dxa"/>
            <w:vAlign w:val="center"/>
          </w:tcPr>
          <w:p>
            <w:pPr>
              <w:snapToGrid w:val="0"/>
              <w:spacing w:after="0" w:line="240" w:lineRule="auto"/>
              <w:jc w:val="center"/>
              <w:rPr>
                <w:lang w:val="en-US" w:eastAsia="zh-CN"/>
              </w:rPr>
            </w:pPr>
            <w:r>
              <w:rPr>
                <w:lang w:val="en-US" w:eastAsia="zh-CN"/>
              </w:rPr>
              <w:t>131.3</w:t>
            </w:r>
          </w:p>
        </w:tc>
        <w:tc>
          <w:tcPr>
            <w:tcW w:w="1700" w:type="dxa"/>
            <w:vAlign w:val="center"/>
          </w:tcPr>
          <w:p>
            <w:pPr>
              <w:snapToGrid w:val="0"/>
              <w:spacing w:after="0" w:line="240" w:lineRule="auto"/>
              <w:jc w:val="center"/>
              <w:rPr>
                <w:lang w:val="en-US" w:eastAsia="zh-CN"/>
              </w:rPr>
            </w:pPr>
            <w:r>
              <w:rPr>
                <w:lang w:val="en-US" w:eastAsia="zh-CN"/>
              </w:rPr>
              <w:t>134.3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Mean</w:t>
            </w:r>
          </w:p>
        </w:tc>
        <w:tc>
          <w:tcPr>
            <w:tcW w:w="1360" w:type="dxa"/>
            <w:vAlign w:val="center"/>
          </w:tcPr>
          <w:p>
            <w:pPr>
              <w:snapToGrid w:val="0"/>
              <w:spacing w:after="0" w:line="240" w:lineRule="auto"/>
              <w:jc w:val="center"/>
              <w:rPr>
                <w:lang w:val="en-US" w:eastAsia="zh-CN"/>
              </w:rPr>
            </w:pPr>
            <w:r>
              <w:rPr>
                <w:lang w:val="en-US" w:eastAsia="zh-CN"/>
              </w:rPr>
              <w:t>96.3</w:t>
            </w:r>
          </w:p>
        </w:tc>
        <w:tc>
          <w:tcPr>
            <w:tcW w:w="1260" w:type="dxa"/>
            <w:vAlign w:val="center"/>
          </w:tcPr>
          <w:p>
            <w:pPr>
              <w:snapToGrid w:val="0"/>
              <w:spacing w:after="0" w:line="240" w:lineRule="auto"/>
              <w:jc w:val="center"/>
              <w:rPr>
                <w:lang w:val="en-US" w:eastAsia="zh-CN"/>
              </w:rPr>
            </w:pPr>
            <w:r>
              <w:rPr>
                <w:lang w:val="en-US" w:eastAsia="zh-CN"/>
              </w:rPr>
              <w:t>74.6</w:t>
            </w:r>
          </w:p>
        </w:tc>
        <w:tc>
          <w:tcPr>
            <w:tcW w:w="1440" w:type="dxa"/>
            <w:vAlign w:val="center"/>
          </w:tcPr>
          <w:p>
            <w:pPr>
              <w:snapToGrid w:val="0"/>
              <w:spacing w:after="0" w:line="240" w:lineRule="auto"/>
              <w:jc w:val="center"/>
              <w:rPr>
                <w:lang w:val="en-US" w:eastAsia="zh-CN"/>
              </w:rPr>
            </w:pPr>
            <w:r>
              <w:rPr>
                <w:lang w:val="en-US" w:eastAsia="zh-CN"/>
              </w:rPr>
              <w:t>81.3</w:t>
            </w:r>
          </w:p>
        </w:tc>
        <w:tc>
          <w:tcPr>
            <w:tcW w:w="1700" w:type="dxa"/>
            <w:vAlign w:val="center"/>
          </w:tcPr>
          <w:p>
            <w:pPr>
              <w:snapToGrid w:val="0"/>
              <w:spacing w:after="0" w:line="240" w:lineRule="auto"/>
              <w:jc w:val="center"/>
              <w:rPr>
                <w:lang w:val="en-US" w:eastAsia="zh-CN"/>
              </w:rPr>
            </w:pPr>
            <w:r>
              <w:rPr>
                <w:lang w:val="en-US" w:eastAsia="zh-CN"/>
              </w:rP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restart"/>
            <w:vAlign w:val="center"/>
          </w:tcPr>
          <w:p>
            <w:pPr>
              <w:pStyle w:val="24"/>
              <w:snapToGrid w:val="0"/>
              <w:spacing w:before="0" w:beforeAutospacing="0" w:after="0" w:afterAutospacing="0" w:line="240" w:lineRule="auto"/>
              <w:jc w:val="center"/>
              <w:rPr>
                <w:rFonts w:eastAsia="宋体"/>
                <w:sz w:val="20"/>
                <w:szCs w:val="20"/>
              </w:rPr>
            </w:pPr>
            <w:r>
              <w:rPr>
                <w:rFonts w:eastAsia="宋体"/>
                <w:b/>
                <w:sz w:val="20"/>
                <w:szCs w:val="20"/>
              </w:rPr>
              <w:t xml:space="preserve">DL:  </w:t>
            </w:r>
            <w:r>
              <w:rPr>
                <w:rFonts w:eastAsia="宋体"/>
                <w:sz w:val="20"/>
                <w:szCs w:val="20"/>
              </w:rPr>
              <w:t>Delay CDF [s]</w:t>
            </w: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w:t>
            </w:r>
          </w:p>
        </w:tc>
        <w:tc>
          <w:tcPr>
            <w:tcW w:w="1360" w:type="dxa"/>
            <w:vAlign w:val="center"/>
          </w:tcPr>
          <w:p>
            <w:pPr>
              <w:snapToGrid w:val="0"/>
              <w:spacing w:after="0" w:line="240" w:lineRule="auto"/>
              <w:jc w:val="center"/>
              <w:rPr>
                <w:lang w:val="en-US" w:eastAsia="zh-CN"/>
              </w:rPr>
            </w:pPr>
            <w:r>
              <w:rPr>
                <w:lang w:val="en-US" w:eastAsia="zh-CN"/>
              </w:rPr>
              <w:t>0.019</w:t>
            </w:r>
          </w:p>
        </w:tc>
        <w:tc>
          <w:tcPr>
            <w:tcW w:w="1260" w:type="dxa"/>
            <w:vAlign w:val="center"/>
          </w:tcPr>
          <w:p>
            <w:pPr>
              <w:snapToGrid w:val="0"/>
              <w:spacing w:after="0" w:line="240" w:lineRule="auto"/>
              <w:jc w:val="center"/>
              <w:rPr>
                <w:lang w:val="en-US" w:eastAsia="zh-CN"/>
              </w:rPr>
            </w:pPr>
            <w:r>
              <w:rPr>
                <w:lang w:val="en-US" w:eastAsia="zh-CN"/>
              </w:rPr>
              <w:t>0.020</w:t>
            </w:r>
          </w:p>
        </w:tc>
        <w:tc>
          <w:tcPr>
            <w:tcW w:w="1440" w:type="dxa"/>
            <w:vAlign w:val="center"/>
          </w:tcPr>
          <w:p>
            <w:pPr>
              <w:snapToGrid w:val="0"/>
              <w:spacing w:after="0" w:line="240" w:lineRule="auto"/>
              <w:jc w:val="center"/>
              <w:rPr>
                <w:lang w:val="en-US" w:eastAsia="zh-CN"/>
              </w:rPr>
            </w:pPr>
            <w:r>
              <w:rPr>
                <w:lang w:val="en-US" w:eastAsia="zh-CN"/>
              </w:rPr>
              <w:t>0.020</w:t>
            </w:r>
          </w:p>
        </w:tc>
        <w:tc>
          <w:tcPr>
            <w:tcW w:w="1700" w:type="dxa"/>
            <w:vAlign w:val="center"/>
          </w:tcPr>
          <w:p>
            <w:pPr>
              <w:snapToGrid w:val="0"/>
              <w:spacing w:after="0" w:line="240" w:lineRule="auto"/>
              <w:jc w:val="center"/>
              <w:rPr>
                <w:lang w:val="en-US" w:eastAsia="zh-CN"/>
              </w:rPr>
            </w:pPr>
            <w:r>
              <w:rPr>
                <w:lang w:val="en-US" w:eastAsia="zh-CN"/>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50%</w:t>
            </w:r>
          </w:p>
        </w:tc>
        <w:tc>
          <w:tcPr>
            <w:tcW w:w="1360" w:type="dxa"/>
            <w:vAlign w:val="center"/>
          </w:tcPr>
          <w:p>
            <w:pPr>
              <w:snapToGrid w:val="0"/>
              <w:spacing w:after="0" w:line="240" w:lineRule="auto"/>
              <w:jc w:val="center"/>
              <w:rPr>
                <w:lang w:val="en-US" w:eastAsia="zh-CN"/>
              </w:rPr>
            </w:pPr>
            <w:r>
              <w:rPr>
                <w:lang w:val="en-US" w:eastAsia="zh-CN"/>
              </w:rPr>
              <w:t>0.041</w:t>
            </w:r>
          </w:p>
        </w:tc>
        <w:tc>
          <w:tcPr>
            <w:tcW w:w="1260" w:type="dxa"/>
            <w:vAlign w:val="center"/>
          </w:tcPr>
          <w:p>
            <w:pPr>
              <w:snapToGrid w:val="0"/>
              <w:spacing w:after="0" w:line="240" w:lineRule="auto"/>
              <w:jc w:val="center"/>
              <w:rPr>
                <w:lang w:val="en-US" w:eastAsia="zh-CN"/>
              </w:rPr>
            </w:pPr>
            <w:r>
              <w:rPr>
                <w:lang w:val="en-US" w:eastAsia="zh-CN"/>
              </w:rPr>
              <w:t>0.049</w:t>
            </w:r>
          </w:p>
        </w:tc>
        <w:tc>
          <w:tcPr>
            <w:tcW w:w="1440" w:type="dxa"/>
            <w:vAlign w:val="center"/>
          </w:tcPr>
          <w:p>
            <w:pPr>
              <w:snapToGrid w:val="0"/>
              <w:spacing w:after="0" w:line="240" w:lineRule="auto"/>
              <w:jc w:val="center"/>
              <w:rPr>
                <w:lang w:val="en-US" w:eastAsia="zh-CN"/>
              </w:rPr>
            </w:pPr>
            <w:r>
              <w:rPr>
                <w:lang w:val="en-US" w:eastAsia="zh-CN"/>
              </w:rPr>
              <w:t>0.041</w:t>
            </w:r>
          </w:p>
        </w:tc>
        <w:tc>
          <w:tcPr>
            <w:tcW w:w="1700" w:type="dxa"/>
            <w:vAlign w:val="center"/>
          </w:tcPr>
          <w:p>
            <w:pPr>
              <w:snapToGrid w:val="0"/>
              <w:spacing w:after="0" w:line="240" w:lineRule="auto"/>
              <w:jc w:val="center"/>
              <w:rPr>
                <w:lang w:val="en-US" w:eastAsia="zh-CN"/>
              </w:rPr>
            </w:pPr>
            <w:r>
              <w:rPr>
                <w:lang w:val="en-US" w:eastAsia="zh-CN"/>
              </w:rPr>
              <w:t>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95%</w:t>
            </w:r>
          </w:p>
        </w:tc>
        <w:tc>
          <w:tcPr>
            <w:tcW w:w="1360" w:type="dxa"/>
            <w:vAlign w:val="center"/>
          </w:tcPr>
          <w:p>
            <w:pPr>
              <w:snapToGrid w:val="0"/>
              <w:spacing w:after="0" w:line="240" w:lineRule="auto"/>
              <w:jc w:val="center"/>
              <w:rPr>
                <w:lang w:val="en-US" w:eastAsia="zh-CN"/>
              </w:rPr>
            </w:pPr>
            <w:r>
              <w:rPr>
                <w:lang w:val="en-US" w:eastAsia="zh-CN"/>
              </w:rPr>
              <w:t>0.150</w:t>
            </w:r>
          </w:p>
        </w:tc>
        <w:tc>
          <w:tcPr>
            <w:tcW w:w="1260" w:type="dxa"/>
            <w:vAlign w:val="center"/>
          </w:tcPr>
          <w:p>
            <w:pPr>
              <w:snapToGrid w:val="0"/>
              <w:spacing w:after="0" w:line="240" w:lineRule="auto"/>
              <w:jc w:val="center"/>
              <w:rPr>
                <w:lang w:val="en-US" w:eastAsia="zh-CN"/>
              </w:rPr>
            </w:pPr>
            <w:r>
              <w:rPr>
                <w:lang w:val="en-US" w:eastAsia="zh-CN"/>
              </w:rPr>
              <w:t>0.150</w:t>
            </w:r>
          </w:p>
        </w:tc>
        <w:tc>
          <w:tcPr>
            <w:tcW w:w="1440" w:type="dxa"/>
            <w:vAlign w:val="center"/>
          </w:tcPr>
          <w:p>
            <w:pPr>
              <w:snapToGrid w:val="0"/>
              <w:spacing w:after="0" w:line="240" w:lineRule="auto"/>
              <w:jc w:val="center"/>
              <w:rPr>
                <w:lang w:val="en-US" w:eastAsia="zh-CN"/>
              </w:rPr>
            </w:pPr>
            <w:r>
              <w:rPr>
                <w:lang w:val="en-US" w:eastAsia="zh-CN"/>
              </w:rPr>
              <w:t>0.164</w:t>
            </w:r>
          </w:p>
        </w:tc>
        <w:tc>
          <w:tcPr>
            <w:tcW w:w="1700" w:type="dxa"/>
            <w:vAlign w:val="center"/>
          </w:tcPr>
          <w:p>
            <w:pPr>
              <w:snapToGrid w:val="0"/>
              <w:spacing w:after="0" w:line="240" w:lineRule="auto"/>
              <w:jc w:val="center"/>
              <w:rPr>
                <w:lang w:val="en-US" w:eastAsia="zh-CN"/>
              </w:rPr>
            </w:pPr>
            <w:r>
              <w:rPr>
                <w:lang w:val="en-US" w:eastAsia="zh-CN"/>
              </w:rPr>
              <w:t>0.150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Mean</w:t>
            </w:r>
          </w:p>
        </w:tc>
        <w:tc>
          <w:tcPr>
            <w:tcW w:w="1360" w:type="dxa"/>
            <w:vAlign w:val="center"/>
          </w:tcPr>
          <w:p>
            <w:pPr>
              <w:snapToGrid w:val="0"/>
              <w:spacing w:after="0" w:line="240" w:lineRule="auto"/>
              <w:jc w:val="center"/>
              <w:rPr>
                <w:lang w:val="en-US" w:eastAsia="zh-CN"/>
              </w:rPr>
            </w:pPr>
            <w:r>
              <w:rPr>
                <w:lang w:val="en-US" w:eastAsia="zh-CN"/>
              </w:rPr>
              <w:t>0.062</w:t>
            </w:r>
          </w:p>
        </w:tc>
        <w:tc>
          <w:tcPr>
            <w:tcW w:w="1260" w:type="dxa"/>
            <w:vAlign w:val="center"/>
          </w:tcPr>
          <w:p>
            <w:pPr>
              <w:snapToGrid w:val="0"/>
              <w:spacing w:after="0" w:line="240" w:lineRule="auto"/>
              <w:jc w:val="center"/>
              <w:rPr>
                <w:lang w:val="en-US" w:eastAsia="zh-CN"/>
              </w:rPr>
            </w:pPr>
            <w:r>
              <w:rPr>
                <w:lang w:val="en-US" w:eastAsia="zh-CN"/>
              </w:rPr>
              <w:t>0.076</w:t>
            </w:r>
          </w:p>
        </w:tc>
        <w:tc>
          <w:tcPr>
            <w:tcW w:w="1440" w:type="dxa"/>
            <w:vAlign w:val="center"/>
          </w:tcPr>
          <w:p>
            <w:pPr>
              <w:snapToGrid w:val="0"/>
              <w:spacing w:after="0" w:line="240" w:lineRule="auto"/>
              <w:jc w:val="center"/>
              <w:rPr>
                <w:lang w:val="en-US" w:eastAsia="zh-CN"/>
              </w:rPr>
            </w:pPr>
            <w:r>
              <w:rPr>
                <w:lang w:val="en-US" w:eastAsia="zh-CN"/>
              </w:rPr>
              <w:t>0.080</w:t>
            </w:r>
          </w:p>
        </w:tc>
        <w:tc>
          <w:tcPr>
            <w:tcW w:w="1700" w:type="dxa"/>
            <w:vAlign w:val="center"/>
          </w:tcPr>
          <w:p>
            <w:pPr>
              <w:snapToGrid w:val="0"/>
              <w:spacing w:after="0" w:line="240" w:lineRule="auto"/>
              <w:jc w:val="center"/>
              <w:rPr>
                <w:lang w:val="en-US" w:eastAsia="zh-CN"/>
              </w:rPr>
            </w:pPr>
            <w:r>
              <w:rPr>
                <w:lang w:val="en-US" w:eastAsia="zh-CN"/>
              </w:rPr>
              <w:t>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3035" w:type="dxa"/>
            <w:gridSpan w:val="2"/>
            <w:vAlign w:val="center"/>
          </w:tcPr>
          <w:p>
            <w:pPr>
              <w:pStyle w:val="24"/>
              <w:snapToGrid w:val="0"/>
              <w:spacing w:before="0" w:beforeAutospacing="0" w:after="0" w:afterAutospacing="0" w:line="240" w:lineRule="auto"/>
              <w:jc w:val="both"/>
              <w:rPr>
                <w:rFonts w:eastAsia="宋体"/>
                <w:sz w:val="20"/>
                <w:szCs w:val="20"/>
              </w:rPr>
            </w:pPr>
            <w:r>
              <w:rPr>
                <w:sz w:val="20"/>
                <w:szCs w:val="20"/>
              </w:rPr>
              <w:t>𝜌</w:t>
            </w:r>
            <w:r>
              <w:rPr>
                <w:sz w:val="20"/>
                <w:szCs w:val="20"/>
                <w:vertAlign w:val="subscript"/>
              </w:rPr>
              <w:t>DL</w:t>
            </w:r>
            <w:r>
              <w:rPr>
                <w:sz w:val="20"/>
                <w:szCs w:val="20"/>
              </w:rPr>
              <w:t>(%)</w:t>
            </w:r>
          </w:p>
        </w:tc>
        <w:tc>
          <w:tcPr>
            <w:tcW w:w="1360" w:type="dxa"/>
            <w:vAlign w:val="center"/>
          </w:tcPr>
          <w:p>
            <w:pPr>
              <w:snapToGrid w:val="0"/>
              <w:spacing w:after="0" w:line="240" w:lineRule="auto"/>
              <w:jc w:val="center"/>
              <w:rPr>
                <w:lang w:val="en-US" w:eastAsia="zh-CN"/>
              </w:rPr>
            </w:pPr>
            <w:r>
              <w:rPr>
                <w:lang w:val="en-US" w:eastAsia="zh-CN"/>
              </w:rPr>
              <w:t>99.8</w:t>
            </w:r>
          </w:p>
        </w:tc>
        <w:tc>
          <w:tcPr>
            <w:tcW w:w="1260" w:type="dxa"/>
            <w:vAlign w:val="center"/>
          </w:tcPr>
          <w:p>
            <w:pPr>
              <w:snapToGrid w:val="0"/>
              <w:spacing w:after="0" w:line="240" w:lineRule="auto"/>
              <w:jc w:val="center"/>
              <w:rPr>
                <w:lang w:val="en-US" w:eastAsia="zh-CN"/>
              </w:rPr>
            </w:pPr>
            <w:r>
              <w:rPr>
                <w:lang w:val="en-US" w:eastAsia="zh-CN"/>
              </w:rPr>
              <w:t>99.8</w:t>
            </w:r>
          </w:p>
        </w:tc>
        <w:tc>
          <w:tcPr>
            <w:tcW w:w="1440" w:type="dxa"/>
            <w:vAlign w:val="center"/>
          </w:tcPr>
          <w:p>
            <w:pPr>
              <w:snapToGrid w:val="0"/>
              <w:spacing w:after="0" w:line="240" w:lineRule="auto"/>
              <w:jc w:val="center"/>
              <w:rPr>
                <w:lang w:val="en-US" w:eastAsia="zh-CN"/>
              </w:rPr>
            </w:pPr>
            <w:r>
              <w:rPr>
                <w:lang w:val="en-US" w:eastAsia="zh-CN"/>
              </w:rPr>
              <w:t>98.1</w:t>
            </w:r>
          </w:p>
        </w:tc>
        <w:tc>
          <w:tcPr>
            <w:tcW w:w="1700" w:type="dxa"/>
            <w:vAlign w:val="center"/>
          </w:tcPr>
          <w:p>
            <w:pPr>
              <w:snapToGrid w:val="0"/>
              <w:spacing w:after="0" w:line="240" w:lineRule="auto"/>
              <w:jc w:val="center"/>
              <w:rPr>
                <w:lang w:val="en-US" w:eastAsia="zh-CN"/>
              </w:rPr>
            </w:pPr>
            <w:r>
              <w:rPr>
                <w:lang w:val="en-US" w:eastAsia="zh-CN"/>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2" w:hRule="atLeast"/>
          <w:jc w:val="center"/>
        </w:trPr>
        <w:tc>
          <w:tcPr>
            <w:tcW w:w="3035" w:type="dxa"/>
            <w:gridSpan w:val="2"/>
            <w:vAlign w:val="center"/>
          </w:tcPr>
          <w:p>
            <w:pPr>
              <w:pStyle w:val="24"/>
              <w:snapToGrid w:val="0"/>
              <w:spacing w:before="0" w:beforeAutospacing="0" w:after="0" w:afterAutospacing="0" w:line="240" w:lineRule="auto"/>
              <w:jc w:val="both"/>
              <w:rPr>
                <w:rFonts w:eastAsia="宋体"/>
                <w:sz w:val="20"/>
                <w:szCs w:val="20"/>
              </w:rPr>
            </w:pPr>
            <w:r>
              <w:rPr>
                <w:rFonts w:eastAsia="宋体"/>
                <w:sz w:val="20"/>
                <w:szCs w:val="20"/>
              </w:rPr>
              <w:t xml:space="preserve">BO </w:t>
            </w:r>
            <w:r>
              <w:rPr>
                <w:sz w:val="20"/>
                <w:szCs w:val="20"/>
              </w:rPr>
              <w:t>(DL)(%)</w:t>
            </w:r>
          </w:p>
        </w:tc>
        <w:tc>
          <w:tcPr>
            <w:tcW w:w="1360" w:type="dxa"/>
            <w:vAlign w:val="center"/>
          </w:tcPr>
          <w:p>
            <w:pPr>
              <w:snapToGrid w:val="0"/>
              <w:spacing w:after="0" w:line="240" w:lineRule="auto"/>
              <w:jc w:val="center"/>
              <w:rPr>
                <w:lang w:val="en-US" w:eastAsia="zh-CN"/>
              </w:rPr>
            </w:pPr>
            <w:r>
              <w:rPr>
                <w:lang w:val="en-US" w:eastAsia="zh-CN"/>
              </w:rPr>
              <w:t>25.9</w:t>
            </w:r>
          </w:p>
        </w:tc>
        <w:tc>
          <w:tcPr>
            <w:tcW w:w="1260" w:type="dxa"/>
            <w:vAlign w:val="center"/>
          </w:tcPr>
          <w:p>
            <w:pPr>
              <w:snapToGrid w:val="0"/>
              <w:spacing w:after="0" w:line="240" w:lineRule="auto"/>
              <w:jc w:val="center"/>
              <w:rPr>
                <w:lang w:val="en-US" w:eastAsia="zh-CN"/>
              </w:rPr>
            </w:pPr>
            <w:r>
              <w:rPr>
                <w:lang w:val="en-US" w:eastAsia="zh-CN"/>
              </w:rPr>
              <w:t>22.0</w:t>
            </w:r>
          </w:p>
        </w:tc>
        <w:tc>
          <w:tcPr>
            <w:tcW w:w="1440" w:type="dxa"/>
            <w:vAlign w:val="center"/>
          </w:tcPr>
          <w:p>
            <w:pPr>
              <w:snapToGrid w:val="0"/>
              <w:spacing w:after="0" w:line="240" w:lineRule="auto"/>
              <w:jc w:val="center"/>
              <w:rPr>
                <w:lang w:val="en-US" w:eastAsia="zh-CN"/>
              </w:rPr>
            </w:pPr>
            <w:r>
              <w:rPr>
                <w:lang w:val="en-US" w:eastAsia="zh-CN"/>
              </w:rPr>
              <w:t>30.8</w:t>
            </w:r>
          </w:p>
        </w:tc>
        <w:tc>
          <w:tcPr>
            <w:tcW w:w="1700" w:type="dxa"/>
            <w:vAlign w:val="center"/>
          </w:tcPr>
          <w:p>
            <w:pPr>
              <w:snapToGrid w:val="0"/>
              <w:spacing w:after="0" w:line="240" w:lineRule="auto"/>
              <w:jc w:val="center"/>
              <w:rPr>
                <w:lang w:val="en-US" w:eastAsia="zh-CN"/>
              </w:rPr>
            </w:pPr>
            <w:r>
              <w:rPr>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29" w:hRule="atLeast"/>
          <w:jc w:val="center"/>
        </w:trPr>
        <w:tc>
          <w:tcPr>
            <w:tcW w:w="3035" w:type="dxa"/>
            <w:gridSpan w:val="2"/>
            <w:vAlign w:val="center"/>
          </w:tcPr>
          <w:p>
            <w:pPr>
              <w:snapToGrid w:val="0"/>
              <w:spacing w:after="0" w:line="240" w:lineRule="auto"/>
              <w:jc w:val="both"/>
              <w:rPr>
                <w:rFonts w:eastAsia="宋体"/>
              </w:rPr>
            </w:pPr>
            <w:r>
              <w:t>𝜆</w:t>
            </w:r>
          </w:p>
        </w:tc>
        <w:tc>
          <w:tcPr>
            <w:tcW w:w="5760" w:type="dxa"/>
            <w:gridSpan w:val="4"/>
            <w:vAlign w:val="center"/>
          </w:tcPr>
          <w:p>
            <w:pPr>
              <w:snapToGrid w:val="0"/>
              <w:spacing w:after="0" w:line="240" w:lineRule="auto"/>
              <w:jc w:val="center"/>
              <w:rPr>
                <w:lang w:val="en-US" w:eastAsia="zh-CN"/>
              </w:rPr>
            </w:pPr>
            <w:r>
              <w:rPr>
                <w:lang w:val="en-US" w:eastAsia="zh-CN"/>
              </w:rPr>
              <w:t>1.2 files/s</w:t>
            </w:r>
          </w:p>
        </w:tc>
      </w:tr>
    </w:tbl>
    <w:p>
      <w:pPr>
        <w:spacing w:before="120" w:after="120" w:line="240" w:lineRule="auto"/>
        <w:jc w:val="center"/>
        <w:rPr>
          <w:rFonts w:eastAsia="宋体"/>
          <w:lang w:eastAsia="zh-CN"/>
        </w:rPr>
      </w:pPr>
    </w:p>
    <w:p>
      <w:pPr>
        <w:spacing w:before="137" w:beforeLines="50" w:after="137" w:afterLines="50" w:line="240" w:lineRule="auto"/>
        <w:jc w:val="both"/>
        <w:rPr>
          <w:rFonts w:eastAsia="宋体"/>
          <w:lang w:eastAsia="zh-CN"/>
        </w:rPr>
      </w:pPr>
      <w:r>
        <w:rPr>
          <w:rFonts w:hint="eastAsia" w:eastAsia="宋体"/>
          <w:lang w:val="en-US" w:eastAsia="zh-CN"/>
        </w:rPr>
        <w:t xml:space="preserve">It is observed </w:t>
      </w:r>
      <w:r>
        <w:rPr>
          <w:rFonts w:eastAsia="宋体"/>
          <w:lang w:eastAsia="zh-CN"/>
        </w:rPr>
        <w:t xml:space="preserve">that </w:t>
      </w:r>
      <w:r>
        <w:rPr>
          <w:rFonts w:hint="eastAsia" w:eastAsia="宋体"/>
          <w:lang w:val="en-US" w:eastAsia="zh-CN"/>
        </w:rPr>
        <w:t xml:space="preserve">enhanced Cat-2 LBT such as </w:t>
      </w:r>
      <w:r>
        <w:rPr>
          <w:rFonts w:hint="eastAsia"/>
          <w:lang w:val="en-US" w:eastAsia="zh-CN"/>
        </w:rPr>
        <w:t>multiple CCAs method</w:t>
      </w:r>
      <w:r>
        <w:rPr>
          <w:rFonts w:hint="eastAsia" w:eastAsia="宋体"/>
          <w:lang w:eastAsia="zh-CN"/>
        </w:rPr>
        <w:t xml:space="preserve"> </w:t>
      </w:r>
      <w:r>
        <w:rPr>
          <w:rFonts w:eastAsia="宋体"/>
          <w:lang w:eastAsia="zh-CN"/>
        </w:rPr>
        <w:t>ha</w:t>
      </w:r>
      <w:r>
        <w:rPr>
          <w:rFonts w:hint="eastAsia" w:eastAsia="宋体"/>
          <w:lang w:eastAsia="zh-CN"/>
        </w:rPr>
        <w:t xml:space="preserve">s better </w:t>
      </w:r>
      <w:r>
        <w:rPr>
          <w:rFonts w:eastAsia="宋体"/>
          <w:lang w:eastAsia="zh-CN"/>
        </w:rPr>
        <w:t xml:space="preserve">performance </w:t>
      </w:r>
      <w:r>
        <w:rPr>
          <w:rFonts w:hint="eastAsia" w:eastAsia="宋体"/>
          <w:lang w:eastAsia="zh-CN"/>
        </w:rPr>
        <w:t xml:space="preserve">than </w:t>
      </w:r>
      <w:r>
        <w:rPr>
          <w:rFonts w:hint="eastAsia" w:eastAsia="宋体"/>
          <w:lang w:val="en-US" w:eastAsia="zh-CN"/>
        </w:rPr>
        <w:t>Cat-2 LBT</w:t>
      </w:r>
      <w:r>
        <w:rPr>
          <w:rFonts w:eastAsia="宋体"/>
          <w:lang w:eastAsia="zh-CN"/>
        </w:rPr>
        <w:t xml:space="preserve"> as shown in Table</w:t>
      </w:r>
      <w:r>
        <w:rPr>
          <w:rFonts w:hint="eastAsia" w:eastAsia="宋体"/>
          <w:lang w:val="en-US" w:eastAsia="zh-CN"/>
        </w:rPr>
        <w:t xml:space="preserve"> 1 for the </w:t>
      </w:r>
      <w:r>
        <w:rPr>
          <w:rFonts w:hint="eastAsia" w:eastAsia="宋体"/>
          <w:lang w:eastAsia="zh-CN"/>
        </w:rPr>
        <w:t xml:space="preserve">case of </w:t>
      </w:r>
      <w:r>
        <w:rPr>
          <w:rFonts w:eastAsia="宋体"/>
          <w:lang w:eastAsia="zh-CN"/>
        </w:rPr>
        <w:t xml:space="preserve">asynchronous </w:t>
      </w:r>
      <w:r>
        <w:rPr>
          <w:rFonts w:hint="eastAsia" w:eastAsia="宋体"/>
          <w:lang w:val="en-US" w:eastAsia="zh-CN"/>
        </w:rPr>
        <w:t>NR-U</w:t>
      </w:r>
      <w:r>
        <w:rPr>
          <w:rFonts w:eastAsia="宋体"/>
          <w:lang w:eastAsia="zh-CN"/>
        </w:rPr>
        <w:t xml:space="preserve"> </w:t>
      </w:r>
      <w:r>
        <w:rPr>
          <w:rFonts w:hint="eastAsia" w:eastAsia="宋体"/>
          <w:lang w:val="en-US" w:eastAsia="zh-CN"/>
        </w:rPr>
        <w:t>nodes</w:t>
      </w:r>
      <w:r>
        <w:rPr>
          <w:rFonts w:hint="eastAsia" w:eastAsia="宋体"/>
          <w:lang w:eastAsia="zh-CN"/>
        </w:rPr>
        <w:t xml:space="preserve">. </w:t>
      </w:r>
    </w:p>
    <w:p>
      <w:pPr>
        <w:spacing w:before="137" w:beforeLines="50" w:after="137" w:afterLines="50" w:line="240" w:lineRule="auto"/>
        <w:jc w:val="both"/>
        <w:rPr>
          <w:rFonts w:hint="default"/>
          <w:b w:val="0"/>
          <w:bCs w:val="0"/>
          <w:sz w:val="20"/>
          <w:szCs w:val="20"/>
          <w:lang w:val="en-US" w:eastAsia="zh-CN"/>
        </w:rPr>
      </w:pPr>
      <w:r>
        <w:rPr>
          <w:rFonts w:hint="eastAsia"/>
          <w:b/>
          <w:bCs/>
          <w:lang w:val="en-US" w:eastAsia="zh-CN"/>
        </w:rPr>
        <w:t xml:space="preserve">Proposal 8: </w:t>
      </w:r>
      <w:r>
        <w:rPr>
          <w:rFonts w:hint="eastAsia"/>
          <w:b w:val="0"/>
          <w:bCs w:val="0"/>
          <w:i/>
          <w:iCs/>
          <w:sz w:val="20"/>
          <w:szCs w:val="20"/>
          <w:lang w:val="en-US" w:eastAsia="zh-CN"/>
        </w:rPr>
        <w:t xml:space="preserve">The method of </w:t>
      </w:r>
      <w:r>
        <w:rPr>
          <w:rFonts w:hint="eastAsia"/>
          <w:i/>
          <w:iCs/>
          <w:sz w:val="20"/>
          <w:szCs w:val="20"/>
          <w:lang w:val="en-US" w:eastAsia="zh-CN"/>
        </w:rPr>
        <w:t>R</w:t>
      </w:r>
      <w:r>
        <w:rPr>
          <w:rFonts w:hint="eastAsia"/>
          <w:i/>
          <w:iCs/>
          <w:lang w:val="en-US" w:eastAsia="zh-CN"/>
        </w:rPr>
        <w:t xml:space="preserve">andomly selection the starting position of CCA in CCA time window (idle period) </w:t>
      </w:r>
      <w:r>
        <w:rPr>
          <w:i/>
          <w:iCs/>
          <w:lang w:val="en-US" w:eastAsia="zh-CN"/>
        </w:rPr>
        <w:t xml:space="preserve"> can be considered for FBE to solve unfairness problem 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UE initiated COT sharing with gNB</w:t>
      </w:r>
    </w:p>
    <w:p>
      <w:pPr>
        <w:spacing w:before="137" w:beforeLines="50" w:after="137" w:afterLines="50" w:line="240" w:lineRule="auto"/>
        <w:jc w:val="both"/>
        <w:rPr>
          <w:rFonts w:hint="eastAsia" w:eastAsia="宋体"/>
          <w:lang w:val="en-US" w:eastAsia="zh-CN"/>
        </w:rPr>
      </w:pPr>
      <w:r>
        <w:rPr>
          <w:rFonts w:hint="eastAsia" w:eastAsia="宋体"/>
          <w:b w:val="0"/>
          <w:bCs w:val="0"/>
          <w:sz w:val="21"/>
          <w:szCs w:val="22"/>
          <w:lang w:val="en-US" w:eastAsia="zh-CN"/>
        </w:rPr>
        <w:t>In 38.889, the following</w:t>
      </w:r>
      <w:r>
        <w:rPr>
          <w:rFonts w:hint="eastAsia"/>
          <w:lang w:val="en-US" w:eastAsia="zh-CN"/>
        </w:rPr>
        <w:t xml:space="preserve"> consensus has been reached, </w:t>
      </w:r>
      <w:r>
        <w:rPr>
          <w:rFonts w:hint="default"/>
          <w:lang w:val="en-US" w:eastAsia="zh-CN"/>
        </w:rPr>
        <w:t>“</w:t>
      </w:r>
      <w:r>
        <w:rPr>
          <w:i/>
          <w:iCs/>
        </w:rPr>
        <w:t>It was identified that sharing resources with gNB within COT(s) that is acquired by UE(s) as part of configured grant based transmissions should be supported.</w:t>
      </w:r>
      <w:r>
        <w:rPr>
          <w:rFonts w:hint="default"/>
          <w:lang w:val="en-US" w:eastAsia="zh-CN"/>
        </w:rPr>
        <w:t>”</w:t>
      </w:r>
      <w:r>
        <w:rPr>
          <w:rFonts w:hint="eastAsia"/>
          <w:lang w:val="en-US" w:eastAsia="zh-CN"/>
        </w:rPr>
        <w:t xml:space="preserve"> For this case, UE initiated COT can reuse the same rules as gNB initiated COT. That is to say, if UE obtains channel by Cat-4 LBT, it is possible for gNB to share the UE initiated COT to transmit DL data. Wherein, UE initiated COT information can be carried in UCI such as CG-UCI for </w:t>
      </w:r>
      <w:r>
        <w:rPr>
          <w:lang w:val="en-US"/>
        </w:rPr>
        <w:t>configured grant PUSCH resources and in PUCCH for scheduled PUSCH.</w:t>
      </w:r>
      <w:r>
        <w:rPr>
          <w:rFonts w:hint="eastAsia" w:eastAsia="宋体"/>
          <w:lang w:val="en-US" w:eastAsia="zh-CN"/>
        </w:rPr>
        <w:t xml:space="preserve"> Besides, gNB may indicate UE to stop its UL transmission earlier to leave LBT gap for gNB to access channel. gNB may also indicate to UE that it has DL data to be transmitted so that UE can stop its UL transmission earlier. </w:t>
      </w:r>
    </w:p>
    <w:p>
      <w:pPr>
        <w:spacing w:before="137" w:beforeLines="50" w:after="137" w:afterLines="50" w:line="240" w:lineRule="auto"/>
        <w:jc w:val="both"/>
        <w:rPr>
          <w:rFonts w:hint="default" w:eastAsia="宋体"/>
          <w:lang w:val="en-US" w:eastAsia="zh-CN"/>
        </w:rPr>
      </w:pPr>
      <w:r>
        <w:rPr>
          <w:rFonts w:hint="eastAsia" w:eastAsia="宋体"/>
          <w:lang w:val="en-US" w:eastAsia="zh-CN"/>
        </w:rPr>
        <w:t>If the same UE is scheduled on the remaining resources within UE initiated COT after DL transmission, then Cat-2 LBT can be performed if the gap is 16us or larger than 25us and LBT type can be indicated by gNB to UE. However, if the different UE is scheduled on the remaining resources within UE initiated COT after DL transmission, then in order to keep fair coexistence with Wi-Fi, gNB can indicate Cat-4 LBT to UE and initiate a new COT. By contrary, Cat-2 LBT is indicated to UE that is not initiating COT, then it will result in less channel access chances for other devices being detection and unfairness to some extent. More specification impacts need to further be discussed and evaluated.</w:t>
      </w:r>
    </w:p>
    <w:p>
      <w:pPr>
        <w:spacing w:before="137" w:beforeLines="50" w:after="137" w:afterLines="50"/>
        <w:jc w:val="both"/>
        <w:rPr>
          <w:rFonts w:hint="default"/>
          <w:lang w:val="en-US" w:eastAsia="zh-CN"/>
        </w:rPr>
      </w:pPr>
      <w:r>
        <w:rPr>
          <w:rFonts w:hint="eastAsia"/>
          <w:b/>
          <w:bCs/>
          <w:lang w:val="en-US" w:eastAsia="zh-CN"/>
        </w:rPr>
        <w:t xml:space="preserve">Proposal 9: </w:t>
      </w:r>
      <w:r>
        <w:rPr>
          <w:rFonts w:hint="eastAsia"/>
          <w:b w:val="0"/>
          <w:bCs w:val="0"/>
          <w:i/>
          <w:iCs/>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p>
      <w:pPr>
        <w:pStyle w:val="3"/>
        <w:spacing w:before="120" w:after="120" w:line="240" w:lineRule="auto"/>
        <w:jc w:val="both"/>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Maximum TX duration for Cat-1 LBT</w:t>
      </w:r>
    </w:p>
    <w:p>
      <w:pPr>
        <w:spacing w:before="137" w:beforeLines="50" w:after="137" w:afterLines="50" w:line="240" w:lineRule="auto"/>
        <w:jc w:val="both"/>
        <w:rPr>
          <w:rFonts w:hint="default"/>
          <w:highlight w:val="yellow"/>
          <w:lang w:val="en-US" w:eastAsia="zh-CN"/>
        </w:rPr>
      </w:pPr>
      <w:r>
        <w:rPr>
          <w:rFonts w:hint="eastAsia"/>
          <w:lang w:val="en-US" w:eastAsia="zh-CN"/>
        </w:rPr>
        <w:t xml:space="preserve">In ETSI BRAN specification, clause 4.2.7.3.1.5, the following content was mentioned, </w:t>
      </w:r>
      <w:r>
        <w:rPr>
          <w:rFonts w:hint="default"/>
          <w:lang w:val="en-US" w:eastAsia="zh-CN"/>
        </w:rPr>
        <w:t>“</w:t>
      </w:r>
      <w:r>
        <w:rPr>
          <w:rFonts w:hint="eastAsia"/>
          <w:lang w:val="en-US" w:eastAsia="zh-CN"/>
        </w:rPr>
        <w:t xml:space="preserve"> </w:t>
      </w:r>
      <w:r>
        <w:rPr>
          <w:rFonts w:hint="eastAsia"/>
          <w:i/>
          <w:iCs/>
          <w:lang w:val="en-US" w:eastAsia="zh-CN"/>
        </w:rPr>
        <w:t>the responding device may proceed with such transmission without performing a clear channel assessment (CCA) if these transmissions are initiated at most 16us after the last transmission by initiating device that issued the grant</w:t>
      </w:r>
      <w:r>
        <w:rPr>
          <w:rFonts w:hint="default"/>
          <w:lang w:val="en-US" w:eastAsia="zh-CN"/>
        </w:rPr>
        <w:t>”</w:t>
      </w:r>
      <w:r>
        <w:rPr>
          <w:rFonts w:hint="eastAsia"/>
          <w:lang w:val="en-US" w:eastAsia="zh-CN"/>
        </w:rPr>
        <w:t xml:space="preserve">. From the above statement, we can only see that Cat-1 LBT (No LBT) can be applied without any restrictions on the duration of transmission for responding device if the gap between gNB and UE is no more than 16 us. </w:t>
      </w:r>
      <w:r>
        <w:rPr>
          <w:rFonts w:hint="eastAsia"/>
          <w:highlight w:val="none"/>
          <w:lang w:val="en-US" w:eastAsia="zh-CN"/>
        </w:rPr>
        <w:t xml:space="preserve">Based on this, it is recommended that  the maximum TX duration for Cat-1 LBT should not be limited. Preferably, </w:t>
      </w:r>
      <w:r>
        <w:rPr>
          <w:rFonts w:hint="eastAsia"/>
          <w:lang w:val="en-US" w:eastAsia="zh-CN"/>
        </w:rPr>
        <w:t xml:space="preserve">maximum TX duration within a gNB initiated COT only can be determined according to MCOT duration limit. </w:t>
      </w:r>
    </w:p>
    <w:p>
      <w:pPr>
        <w:spacing w:before="137" w:beforeLines="50" w:after="137" w:afterLines="50" w:line="240" w:lineRule="auto"/>
        <w:jc w:val="both"/>
        <w:rPr>
          <w:rFonts w:hint="default"/>
          <w:i/>
          <w:iCs/>
          <w:highlight w:val="none"/>
          <w:lang w:val="en-US" w:eastAsia="zh-CN"/>
        </w:rPr>
      </w:pPr>
      <w:r>
        <w:rPr>
          <w:rFonts w:hint="eastAsia"/>
          <w:b/>
          <w:bCs/>
          <w:lang w:val="en-US" w:eastAsia="zh-CN"/>
        </w:rPr>
        <w:t xml:space="preserve">Observation 1: </w:t>
      </w:r>
      <w:r>
        <w:rPr>
          <w:rFonts w:hint="eastAsia"/>
          <w:b w:val="0"/>
          <w:bCs w:val="0"/>
          <w:i/>
          <w:iCs/>
          <w:lang w:val="en-US" w:eastAsia="zh-CN"/>
        </w:rPr>
        <w:t>Considering that no any restriction on maximum TX duration for Cat-1 LBT in ETSI specification,</w:t>
      </w:r>
      <w:r>
        <w:rPr>
          <w:rFonts w:hint="eastAsia"/>
          <w:b w:val="0"/>
          <w:bCs w:val="0"/>
          <w:i/>
          <w:iCs/>
          <w:highlight w:val="none"/>
          <w:lang w:val="en-US" w:eastAsia="zh-CN"/>
        </w:rPr>
        <w:t xml:space="preserve"> it is recommended that  the maximum TX duration for Cat-1 LBT should not be limited. </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The maximum number of Cat2 LBT attempts in a 5ms DRS transmission window</w:t>
      </w:r>
    </w:p>
    <w:p>
      <w:pPr>
        <w:spacing w:before="137" w:after="137"/>
        <w:jc w:val="both"/>
        <w:rPr>
          <w:rFonts w:hint="eastAsia"/>
          <w:sz w:val="20"/>
          <w:szCs w:val="20"/>
          <w:lang w:val="en-US" w:eastAsia="zh-CN"/>
        </w:rPr>
      </w:pPr>
      <w:r>
        <w:rPr>
          <w:rFonts w:hint="eastAsia"/>
          <w:sz w:val="20"/>
          <w:szCs w:val="20"/>
          <w:lang w:val="en-US" w:eastAsia="zh-CN"/>
        </w:rPr>
        <w:t xml:space="preserve">Within a 5ms DRS transmission window,  the number of candidate SSB positions Y is 10 for 15kHz SCS and 20 for 30kHz SCS. Further, since one SSB is defined in each half slot, it is natural to set a DRS shift granularity to be a half slot, which is beneficial to increase DRS transmission opportunities. Therefore, we propose that gNB can attempt Cat-2 LBT for any candidate SSB position within a 5ms DRS transmission window. If channel is said to be idle by using Cat-2 LBT, then gNB will start transmission DRS burst set immediately from the first available SSB position. Besides, If the number of SSBs that need to be actually transmitted is larger than the number of SSBs contained in the DRS burst set that has been transmitted currently, a new Cat-2 LBT should be performed before the remaining SSB contained in the next DRS burst set are transmitted. </w:t>
      </w:r>
    </w:p>
    <w:p>
      <w:pPr>
        <w:spacing w:before="137" w:beforeLines="50" w:after="137" w:afterLines="50" w:line="240" w:lineRule="auto"/>
        <w:jc w:val="both"/>
        <w:rPr>
          <w:rFonts w:hint="eastAsia"/>
          <w:lang w:val="en-US" w:eastAsia="zh-CN"/>
        </w:rPr>
      </w:pPr>
      <w:r>
        <w:rPr>
          <w:rFonts w:hint="eastAsia"/>
          <w:lang w:val="en-US" w:eastAsia="zh-CN"/>
        </w:rPr>
        <w:t>On the other hand, we do not also see a need for restriction the maximum number of Cat2 LBT attempts. If it is limited only to friendly coexistence with Wi-Fi, we think that it has been shown with performing Cat-2 LBT on each DRS burst set or candidate SSB transmission. Further, if you blindly limit the number of Cat-2 LBT attempts, then it will impede DRS transmission and be harmful to the standalone scenario.</w:t>
      </w:r>
    </w:p>
    <w:p>
      <w:pPr>
        <w:spacing w:before="137" w:beforeLines="50" w:after="137" w:afterLines="50" w:line="240" w:lineRule="auto"/>
        <w:jc w:val="both"/>
        <w:rPr>
          <w:rFonts w:hint="default"/>
          <w:lang w:val="en-US" w:eastAsia="zh-CN"/>
        </w:rPr>
      </w:pPr>
      <w:r>
        <w:rPr>
          <w:rFonts w:hint="eastAsia"/>
          <w:lang w:val="en-US" w:eastAsia="zh-CN"/>
        </w:rPr>
        <w:t>To sum up, we suggest that Cat-2 LBT can be attempted on each candidate SSB position within a 5ms DRS transmission window.</w:t>
      </w:r>
    </w:p>
    <w:p>
      <w:pPr>
        <w:numPr>
          <w:ilvl w:val="-1"/>
          <w:numId w:val="0"/>
        </w:numPr>
        <w:spacing w:before="137" w:beforeLines="50" w:after="137" w:afterLines="50" w:line="240" w:lineRule="auto"/>
        <w:ind w:left="0" w:firstLine="0"/>
        <w:jc w:val="left"/>
        <w:rPr>
          <w:rFonts w:hint="default"/>
          <w:i/>
          <w:iCs/>
          <w:lang w:val="en-US" w:eastAsia="zh-CN"/>
        </w:rPr>
      </w:pPr>
      <w:r>
        <w:rPr>
          <w:rFonts w:hint="eastAsia"/>
          <w:b/>
          <w:bCs/>
          <w:lang w:val="en-US" w:eastAsia="zh-CN"/>
        </w:rPr>
        <w:t xml:space="preserve">Proposal 10: </w:t>
      </w:r>
      <w:r>
        <w:rPr>
          <w:rFonts w:hint="eastAsia"/>
          <w:b w:val="0"/>
          <w:bCs w:val="0"/>
          <w:i/>
          <w:iCs/>
          <w:lang w:val="en-US" w:eastAsia="zh-CN"/>
        </w:rPr>
        <w:t xml:space="preserve">Considering that DRS transmission opportunities and application scenarios(e.g., Standalone Scenario), it is recommended that </w:t>
      </w:r>
      <w:r>
        <w:rPr>
          <w:rFonts w:hint="eastAsia"/>
          <w:i/>
          <w:iCs/>
          <w:lang w:val="en-US" w:eastAsia="zh-CN"/>
        </w:rPr>
        <w:t>Cat-2 LBT can be attempted on each candidate SSB position within a 5ms DRS transmission window.</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LBT for Wideband operation</w:t>
      </w:r>
    </w:p>
    <w:p>
      <w:pPr>
        <w:spacing w:before="137" w:beforeLines="50" w:after="137" w:afterLines="50" w:line="240" w:lineRule="auto"/>
        <w:jc w:val="both"/>
        <w:rPr>
          <w:lang w:val="en-US" w:eastAsia="zh-CN"/>
        </w:rPr>
      </w:pPr>
      <w:r>
        <w:rPr>
          <w:rFonts w:hint="eastAsia"/>
          <w:lang w:val="en-US" w:eastAsia="zh-CN"/>
        </w:rPr>
        <w:t xml:space="preserve">In order to transmit on the wideband carrier, a straightforward way is to perform LBT operation </w:t>
      </w:r>
      <w:r>
        <w:rPr>
          <w:lang w:val="en-US" w:eastAsia="zh-CN"/>
        </w:rPr>
        <w:t>over</w:t>
      </w:r>
      <w:r>
        <w:rPr>
          <w:rFonts w:hint="eastAsia"/>
          <w:lang w:val="en-US" w:eastAsia="zh-CN"/>
        </w:rPr>
        <w:t xml:space="preserve"> the entire wideband carrier, which can fully utilize the entire wideband carrier if LBT </w:t>
      </w:r>
      <w:r>
        <w:rPr>
          <w:lang w:val="en-US" w:eastAsia="zh-CN"/>
        </w:rPr>
        <w:t>is successful</w:t>
      </w:r>
      <w:r>
        <w:rPr>
          <w:rFonts w:hint="eastAsia"/>
          <w:lang w:val="en-US" w:eastAsia="zh-CN"/>
        </w:rPr>
        <w:t xml:space="preserve">. </w:t>
      </w:r>
      <w:r>
        <w:rPr>
          <w:lang w:val="en-US" w:eastAsia="zh-CN"/>
        </w:rPr>
        <w:t>W</w:t>
      </w:r>
      <w:r>
        <w:rPr>
          <w:rFonts w:hint="eastAsia"/>
          <w:lang w:val="en-US" w:eastAsia="zh-CN"/>
        </w:rPr>
        <w:t>hen the entire wideband carrier consist</w:t>
      </w:r>
      <w:r>
        <w:rPr>
          <w:lang w:val="en-US" w:eastAsia="zh-CN"/>
        </w:rPr>
        <w:t>s</w:t>
      </w:r>
      <w:r>
        <w:rPr>
          <w:rFonts w:hint="eastAsia"/>
          <w:lang w:val="en-US" w:eastAsia="zh-CN"/>
        </w:rPr>
        <w:t xml:space="preserve"> of multiple 20</w:t>
      </w:r>
      <w:r>
        <w:rPr>
          <w:lang w:val="en-US" w:eastAsia="zh-CN"/>
        </w:rPr>
        <w:t xml:space="preserve"> </w:t>
      </w:r>
      <w:r>
        <w:rPr>
          <w:rFonts w:hint="eastAsia"/>
          <w:lang w:val="en-US" w:eastAsia="zh-CN"/>
        </w:rPr>
        <w:t xml:space="preserve">MHz carriers, LBT of wideband carrier </w:t>
      </w:r>
      <w:r>
        <w:rPr>
          <w:lang w:val="en-US" w:eastAsia="zh-CN"/>
        </w:rPr>
        <w:t>would</w:t>
      </w:r>
      <w:r>
        <w:rPr>
          <w:rFonts w:hint="eastAsia"/>
          <w:lang w:val="en-US" w:eastAsia="zh-CN"/>
        </w:rPr>
        <w:t xml:space="preserve"> fail if any one of multiple 20</w:t>
      </w:r>
      <w:r>
        <w:rPr>
          <w:lang w:val="en-US" w:eastAsia="zh-CN"/>
        </w:rPr>
        <w:t xml:space="preserve"> </w:t>
      </w:r>
      <w:r>
        <w:rPr>
          <w:rFonts w:hint="eastAsia"/>
          <w:lang w:val="en-US" w:eastAsia="zh-CN"/>
        </w:rPr>
        <w:t xml:space="preserve">MHz carriers within wideband carrier is busy. In order to </w:t>
      </w:r>
      <w:r>
        <w:rPr>
          <w:lang w:val="en-US" w:eastAsia="zh-CN"/>
        </w:rPr>
        <w:t>increase the chance</w:t>
      </w:r>
      <w:r>
        <w:rPr>
          <w:rFonts w:hint="eastAsia"/>
          <w:lang w:val="en-US" w:eastAsia="zh-CN"/>
        </w:rPr>
        <w:t xml:space="preserve"> of channel access, </w:t>
      </w:r>
      <w:r>
        <w:rPr>
          <w:rFonts w:hint="eastAsia" w:eastAsia="宋体"/>
          <w:lang w:val="en-US" w:eastAsia="zh-CN"/>
        </w:rPr>
        <w:t>another way is to perform LBT on each 20</w:t>
      </w:r>
      <w:r>
        <w:rPr>
          <w:rFonts w:eastAsia="宋体"/>
          <w:lang w:val="en-US" w:eastAsia="zh-CN"/>
        </w:rPr>
        <w:t xml:space="preserve"> </w:t>
      </w:r>
      <w:r>
        <w:rPr>
          <w:rFonts w:hint="eastAsia" w:eastAsia="宋体"/>
          <w:lang w:val="en-US" w:eastAsia="zh-CN"/>
        </w:rPr>
        <w:t>MHz carrier. LBT for multiple carriers can be done in a similar manner as it is done for LTE-LAA multiple CCs</w:t>
      </w:r>
      <w:r>
        <w:rPr>
          <w:rFonts w:eastAsia="宋体"/>
          <w:lang w:val="en-US" w:eastAsia="zh-CN"/>
        </w:rPr>
        <w:t xml:space="preserve"> </w:t>
      </w:r>
      <w:r>
        <w:rPr>
          <w:rFonts w:hint="eastAsia" w:eastAsia="宋体"/>
          <w:lang w:val="en-US" w:eastAsia="zh-CN"/>
        </w:rPr>
        <w:t>(e.g., Type A/B) in TS 36.213 Section 15.1.5</w:t>
      </w:r>
      <w:r>
        <w:rPr>
          <w:rFonts w:eastAsia="宋体"/>
          <w:lang w:val="en-US" w:eastAsia="zh-CN"/>
        </w:rPr>
        <w:t xml:space="preserve"> </w:t>
      </w:r>
      <w:r>
        <w:rPr>
          <w:rFonts w:hint="eastAsia" w:eastAsia="宋体"/>
          <w:lang w:val="en-US" w:eastAsia="zh-CN"/>
        </w:rPr>
        <w:t>[5]. Compared with LBT of wideband carrier, LBT on multiple 20</w:t>
      </w:r>
      <w:r>
        <w:rPr>
          <w:rFonts w:eastAsia="宋体"/>
          <w:lang w:val="en-US" w:eastAsia="zh-CN"/>
        </w:rPr>
        <w:t xml:space="preserve"> </w:t>
      </w:r>
      <w:r>
        <w:rPr>
          <w:rFonts w:hint="eastAsia" w:eastAsia="宋体"/>
          <w:lang w:val="en-US" w:eastAsia="zh-CN"/>
        </w:rPr>
        <w:t>MHz carriers can improve the spectrum utilizatio</w:t>
      </w:r>
      <w:r>
        <w:rPr>
          <w:rFonts w:eastAsia="宋体"/>
          <w:lang w:val="en-US" w:eastAsia="zh-CN"/>
        </w:rPr>
        <w:t>n</w:t>
      </w:r>
      <w:r>
        <w:rPr>
          <w:rFonts w:hint="eastAsia" w:eastAsia="宋体"/>
          <w:lang w:val="en-US" w:eastAsia="zh-CN"/>
        </w:rPr>
        <w:t xml:space="preserve"> and coexistence fairness with incumbent systems. Based on this, LBT of LTE-LAA multiple CCs</w:t>
      </w:r>
      <w:r>
        <w:rPr>
          <w:rFonts w:eastAsia="宋体"/>
          <w:lang w:val="en-US" w:eastAsia="zh-CN"/>
        </w:rPr>
        <w:t xml:space="preserve"> </w:t>
      </w:r>
      <w:r>
        <w:rPr>
          <w:rFonts w:hint="eastAsia" w:eastAsia="宋体"/>
          <w:lang w:val="en-US" w:eastAsia="zh-CN"/>
        </w:rPr>
        <w:t>(e.g., Type A/B) manner can be used as starting point for research LBT for multiple carriers.</w:t>
      </w:r>
    </w:p>
    <w:p>
      <w:pPr>
        <w:pStyle w:val="124"/>
        <w:spacing w:before="137" w:beforeLines="50" w:after="137" w:afterLines="50" w:line="240" w:lineRule="auto"/>
        <w:ind w:left="0"/>
        <w:rPr>
          <w:rFonts w:hint="eastAsia"/>
          <w:lang w:val="en-US" w:eastAsia="zh-CN"/>
        </w:rPr>
      </w:pPr>
      <w:r>
        <w:rPr>
          <w:rFonts w:hint="eastAsia"/>
          <w:b/>
          <w:bCs/>
          <w:lang w:val="en-US" w:eastAsia="zh-CN"/>
        </w:rPr>
        <w:t>Proposal 11:</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Directional LBT Mechanism</w:t>
      </w:r>
    </w:p>
    <w:p>
      <w:pPr>
        <w:tabs>
          <w:tab w:val="left" w:pos="450"/>
          <w:tab w:val="left" w:pos="720"/>
        </w:tabs>
        <w:spacing w:before="137" w:beforeLines="50" w:after="137" w:afterLines="50" w:line="240" w:lineRule="auto"/>
        <w:jc w:val="both"/>
        <w:rPr>
          <w:lang w:val="en-US" w:eastAsia="zh-CN"/>
        </w:rPr>
      </w:pPr>
      <w:r>
        <w:rPr>
          <w:rFonts w:hint="eastAsia"/>
          <w:lang w:val="en-US" w:eastAsia="zh-CN"/>
        </w:rPr>
        <w:t>In LTE-LAA, in order to guarantee fair coexistence with the incumbe</w:t>
      </w:r>
      <w:r>
        <w:rPr>
          <w:rFonts w:hint="eastAsia" w:eastAsia="宋体"/>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(listen before talk) with energy detection via</w:t>
      </w:r>
      <w:bookmarkStart w:id="12" w:name="_GoBack"/>
      <w:bookmarkEnd w:id="12"/>
      <w:r>
        <w:rPr>
          <w:rFonts w:hint="eastAsia"/>
          <w:lang w:val="en-US" w:eastAsia="zh-CN"/>
        </w:rPr>
        <w:t xml:space="preserve"> omni-directional </w:t>
      </w:r>
      <w:r>
        <w:rPr>
          <w:lang w:val="en-US" w:eastAsia="zh-CN"/>
        </w:rPr>
        <w:t xml:space="preserve">antenna </w:t>
      </w:r>
      <w:r>
        <w:rPr>
          <w:rFonts w:hint="eastAsia"/>
          <w:lang w:val="en-US" w:eastAsia="zh-CN"/>
        </w:rPr>
        <w:t xml:space="preserve">beam was introduced in LAA and eLAA. </w:t>
      </w:r>
    </w:p>
    <w:p>
      <w:pPr>
        <w:tabs>
          <w:tab w:val="left" w:pos="450"/>
          <w:tab w:val="left" w:pos="720"/>
        </w:tabs>
        <w:spacing w:before="137" w:beforeLines="50" w:after="137" w:afterLines="50" w:line="240" w:lineRule="auto"/>
        <w:jc w:val="both"/>
        <w:rPr>
          <w:lang w:val="en-US" w:eastAsia="zh-CN"/>
        </w:rPr>
      </w:pPr>
      <w:r>
        <w:rPr>
          <w:rFonts w:hint="eastAsia"/>
          <w:lang w:val="en-US" w:eastAsia="zh-CN"/>
        </w:rPr>
        <w:t>In NR, SS/PBCH block transmission with beam has been supported to cover the whole NR cell. In NR-U, SS/PBCH block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enable initial access and/or measurement and so on. However, according to the regulation requirement of the unlicensed carrier, </w:t>
      </w:r>
      <w:r>
        <w:rPr>
          <w:rFonts w:hint="eastAsia" w:eastAsia="宋体"/>
          <w:lang w:val="en-US" w:eastAsia="zh-CN"/>
        </w:rPr>
        <w:t>LBT need</w:t>
      </w:r>
      <w:r>
        <w:rPr>
          <w:rFonts w:eastAsia="宋体"/>
          <w:lang w:val="en-US" w:eastAsia="zh-CN"/>
        </w:rPr>
        <w:t>s</w:t>
      </w:r>
      <w:r>
        <w:rPr>
          <w:rFonts w:hint="eastAsia" w:eastAsia="宋体"/>
          <w:lang w:val="en-US" w:eastAsia="zh-CN"/>
        </w:rPr>
        <w:t xml:space="preserve"> to be performed before the actual SS/PBCH block transmission. If LBT in LTE-LAA is directly reused for beam-based SS/PBCH block transmission, it will lead to inaccurate CCA detection problems, e.g., high interference detected on the omni-directional beam could block the SS/PBCH block transmission on narrow directional beam even if the SS/PBCH block transmission does not interfere with the transmission of the other nodes in other beam directions. 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block transmission in order to improve the probability of channel access and the accuracy of CCA detection. </w:t>
      </w:r>
    </w:p>
    <w:p>
      <w:pPr>
        <w:tabs>
          <w:tab w:val="left" w:pos="450"/>
          <w:tab w:val="left" w:pos="720"/>
        </w:tabs>
        <w:spacing w:before="137" w:beforeLines="50" w:after="137" w:afterLines="50" w:line="240" w:lineRule="auto"/>
        <w:jc w:val="both"/>
        <w:rPr>
          <w:lang w:val="en-US" w:eastAsia="zh-CN"/>
        </w:rPr>
      </w:pPr>
      <w:r>
        <w:rPr>
          <w:rFonts w:hint="eastAsia"/>
          <w:b/>
          <w:bCs/>
          <w:lang w:val="en-US" w:eastAsia="zh-CN"/>
        </w:rPr>
        <w:t>Proposal 12:</w:t>
      </w:r>
      <w:r>
        <w:rPr>
          <w:rFonts w:hint="eastAsia"/>
          <w:i/>
          <w:iCs/>
          <w:lang w:val="en-US" w:eastAsia="zh-CN"/>
        </w:rPr>
        <w:t xml:space="preserve"> Directional LBT should at least be supported for beam-based SS/PBCH block transmission in order to avoid inaccurate CCA detection problems. </w:t>
      </w:r>
    </w:p>
    <w:p>
      <w:pPr>
        <w:tabs>
          <w:tab w:val="left" w:pos="450"/>
          <w:tab w:val="left" w:pos="720"/>
        </w:tabs>
        <w:spacing w:before="137" w:beforeLines="50" w:after="137" w:afterLines="50" w:line="240" w:lineRule="auto"/>
        <w:jc w:val="both"/>
        <w:rPr>
          <w:lang w:val="en-US" w:eastAsia="zh-CN"/>
        </w:rPr>
      </w:pPr>
      <w:r>
        <w:rPr>
          <w:rFonts w:hint="eastAsia"/>
          <w:lang w:val="en-US" w:eastAsia="zh-CN"/>
        </w:rPr>
        <w:t>In order to better support directional LBT mechanism, some enhancements to current LTE-LAA LBT mechanism are worthy study to avoid interference. For example:</w:t>
      </w:r>
    </w:p>
    <w:p>
      <w:pPr>
        <w:numPr>
          <w:ilvl w:val="0"/>
          <w:numId w:val="15"/>
        </w:numPr>
        <w:tabs>
          <w:tab w:val="left" w:pos="450"/>
          <w:tab w:val="left" w:pos="720"/>
        </w:tabs>
        <w:spacing w:before="137" w:beforeLines="50" w:after="137" w:afterLines="50" w:line="240" w:lineRule="auto"/>
        <w:jc w:val="both"/>
        <w:rPr>
          <w:lang w:val="en-US" w:eastAsia="zh-CN"/>
        </w:rPr>
      </w:pPr>
      <w:r>
        <w:rPr>
          <w:rFonts w:hint="eastAsia"/>
          <w:lang w:val="en-US" w:eastAsia="zh-CN"/>
        </w:rPr>
        <w:t xml:space="preserve">Enhanced energy </w:t>
      </w:r>
      <w:r>
        <w:rPr>
          <w:lang w:val="en-US" w:eastAsia="zh-CN"/>
        </w:rPr>
        <w:t>calculation method</w:t>
      </w:r>
    </w:p>
    <w:p>
      <w:pPr>
        <w:numPr>
          <w:ilvl w:val="255"/>
          <w:numId w:val="0"/>
        </w:numPr>
        <w:tabs>
          <w:tab w:val="left" w:pos="450"/>
          <w:tab w:val="left" w:pos="720"/>
        </w:tabs>
        <w:spacing w:before="137" w:beforeLines="50" w:after="137" w:afterLines="50" w:line="240" w:lineRule="auto"/>
        <w:jc w:val="both"/>
        <w:rPr>
          <w:lang w:val="en-US" w:eastAsia="zh-CN"/>
        </w:rPr>
      </w:pPr>
      <w:r>
        <w:rPr>
          <w:rFonts w:hint="eastAsia"/>
          <w:lang w:val="en-US" w:eastAsia="zh-CN"/>
        </w:rPr>
        <w:t>In order to avoid the inaccuracy of CCA detection results caused by the mismatch between omni-directional LBT mode and directional SS/PBCH block transmission, some enhancement</w:t>
      </w:r>
      <w:r>
        <w:rPr>
          <w:lang w:val="en-US" w:eastAsia="zh-CN"/>
        </w:rPr>
        <w:t>s</w:t>
      </w:r>
      <w:r>
        <w:rPr>
          <w:rFonts w:hint="eastAsia"/>
          <w:lang w:val="en-US" w:eastAsia="zh-CN"/>
        </w:rPr>
        <w:t xml:space="preserve"> for energy calculation method need to be considered</w:t>
      </w:r>
      <w:r>
        <w:rPr>
          <w:lang w:val="en-US" w:eastAsia="zh-CN"/>
        </w:rPr>
        <w:t>. For example,</w:t>
      </w:r>
      <w:r>
        <w:rPr>
          <w:rFonts w:hint="eastAsia"/>
          <w:lang w:val="en-US" w:eastAsia="zh-CN"/>
        </w:rPr>
        <w:t xml:space="preserve"> only the signal energy </w:t>
      </w:r>
      <w:r>
        <w:rPr>
          <w:lang w:val="en-US" w:eastAsia="zh-CN"/>
        </w:rPr>
        <w:t>with</w:t>
      </w:r>
      <w:r>
        <w:rPr>
          <w:rFonts w:hint="eastAsia"/>
          <w:lang w:val="en-US" w:eastAsia="zh-CN"/>
        </w:rPr>
        <w:t>in the beam range can be used to determine the channel idle/busy condition.</w:t>
      </w:r>
    </w:p>
    <w:p>
      <w:pPr>
        <w:numPr>
          <w:ilvl w:val="0"/>
          <w:numId w:val="15"/>
        </w:numPr>
        <w:tabs>
          <w:tab w:val="left" w:pos="450"/>
          <w:tab w:val="left" w:pos="720"/>
        </w:tabs>
        <w:spacing w:before="137" w:beforeLines="50" w:after="137" w:afterLines="50" w:line="240" w:lineRule="auto"/>
        <w:jc w:val="both"/>
        <w:rPr>
          <w:lang w:val="en-US" w:eastAsia="zh-CN"/>
        </w:rPr>
      </w:pPr>
      <w:r>
        <w:rPr>
          <w:rFonts w:hint="eastAsia"/>
          <w:lang w:val="en-US" w:eastAsia="zh-CN"/>
        </w:rPr>
        <w:t>CCA detection threshold</w:t>
      </w:r>
    </w:p>
    <w:p>
      <w:pPr>
        <w:tabs>
          <w:tab w:val="left" w:pos="450"/>
          <w:tab w:val="left" w:pos="720"/>
        </w:tabs>
        <w:spacing w:before="137" w:beforeLines="50" w:after="137" w:afterLines="50" w:line="240" w:lineRule="auto"/>
        <w:jc w:val="both"/>
        <w:rPr>
          <w:lang w:val="en-US" w:eastAsia="zh-CN"/>
        </w:rPr>
      </w:pPr>
      <w:r>
        <w:rPr>
          <w:rFonts w:hint="eastAsia"/>
          <w:lang w:val="en-US" w:eastAsia="zh-CN"/>
        </w:rPr>
        <w:t>For LTE-LAA, due to 20MHz channel and omni-directional channel detection mode, the CCA energy detection threshold is unique for the transmission nodes. For NR-U, if channel access uses directional LBT, the CCA energy detection threshold for the transmission node may change due to</w:t>
      </w:r>
      <w:r>
        <w:rPr>
          <w:rFonts w:hint="eastAsia"/>
          <w:b/>
          <w:bCs/>
          <w:lang w:val="en-US" w:eastAsia="zh-CN"/>
        </w:rPr>
        <w:t xml:space="preserve"> </w:t>
      </w:r>
      <w:r>
        <w:rPr>
          <w:rFonts w:hint="eastAsia"/>
          <w:lang w:val="en-US" w:eastAsia="zh-CN"/>
        </w:rPr>
        <w:t xml:space="preserve">beamforming gain is introduced in EIRP of </w:t>
      </w:r>
      <w:r>
        <w:rPr>
          <w:rFonts w:hint="eastAsia"/>
          <w:lang w:val="en-US" w:eastAsia="zh-CN"/>
        </w:rPr>
        <w:object>
          <v:shape id="_x0000_i1031" o:spt="75" type="#_x0000_t75" style="height:16pt;width:42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hint="eastAsia"/>
          <w:lang w:val="en-US" w:eastAsia="zh-CN"/>
        </w:rPr>
        <w:t xml:space="preserve"> calculation. Wherein, EIRP</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Tx power + antenna gain + be</w:t>
      </w:r>
      <w:r>
        <w:rPr>
          <w:rFonts w:hint="eastAsia" w:eastAsia="宋体"/>
          <w:lang w:val="en-US" w:eastAsia="zh-CN"/>
        </w:rPr>
        <w:t xml:space="preserve">amforming gain. Therefore, it is necessary to discuss and study the calculation method of EIRP and appropriate CCA detection threshold for </w:t>
      </w:r>
      <w:r>
        <w:rPr>
          <w:rFonts w:hint="eastAsia"/>
          <w:lang w:val="en-US" w:eastAsia="zh-CN"/>
        </w:rPr>
        <w:t>directional</w:t>
      </w:r>
      <w:r>
        <w:rPr>
          <w:rFonts w:hint="eastAsia" w:eastAsia="宋体"/>
          <w:lang w:val="en-US" w:eastAsia="zh-CN"/>
        </w:rPr>
        <w:t xml:space="preserve"> LBT in NR-U. </w:t>
      </w:r>
    </w:p>
    <w:p>
      <w:pPr>
        <w:spacing w:before="137" w:beforeLines="50" w:after="137" w:afterLines="50"/>
        <w:jc w:val="both"/>
        <w:rPr>
          <w:i/>
          <w:iCs/>
          <w:lang w:val="en-US" w:eastAsia="zh-CN"/>
        </w:rPr>
      </w:pPr>
      <w:r>
        <w:rPr>
          <w:rFonts w:hint="eastAsia"/>
          <w:b/>
          <w:bCs/>
          <w:lang w:val="en-US" w:eastAsia="zh-CN"/>
        </w:rPr>
        <w:t>Proposal 13:</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w:t>
      </w:r>
      <w:r>
        <w:rPr>
          <w:rFonts w:hint="eastAsia" w:ascii="Times New Roman" w:hAnsi="Times New Roman"/>
          <w:b/>
          <w:bCs w:val="0"/>
          <w:sz w:val="24"/>
          <w:szCs w:val="24"/>
          <w:lang w:val="en-US" w:eastAsia="zh-CN"/>
        </w:rPr>
        <w:t xml:space="preserve"> </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LBT for Multiplexing and Frequency Reuse</w:t>
      </w:r>
    </w:p>
    <w:p>
      <w:pPr>
        <w:tabs>
          <w:tab w:val="left" w:pos="450"/>
          <w:tab w:val="left" w:pos="720"/>
        </w:tabs>
        <w:spacing w:before="137" w:beforeLines="50" w:after="137" w:afterLines="50" w:line="240" w:lineRule="auto"/>
        <w:jc w:val="both"/>
        <w:rPr>
          <w:lang w:val="en-US" w:eastAsia="zh-CN"/>
        </w:rPr>
      </w:pPr>
      <w:r>
        <w:rPr>
          <w:lang w:val="en-US" w:eastAsia="zh-CN"/>
        </w:rPr>
        <w:t>In LTE-LAA, frequency reuse among the neighbor nodes of the same operator is supported where maximum ED threshold (-52 dBm) has been agreed. In addition, it is recommended that multi-user multiplexing in one UL subframe on the unlicensed SCell by SDM or FDM should be supported in LTE-LAA. Based on this, multi-user multiplexing and frequency reuse could be also considered to be supported in NR-U. Furthermore, spatial reuse in NR-U has been supported to enhance performance beyond the baseline LBT in RAN1 #92bis meeting.</w:t>
      </w:r>
    </w:p>
    <w:p>
      <w:pPr>
        <w:tabs>
          <w:tab w:val="left" w:pos="450"/>
          <w:tab w:val="left" w:pos="720"/>
        </w:tabs>
        <w:spacing w:before="137" w:beforeLines="50" w:after="137" w:afterLines="50" w:line="240" w:lineRule="auto"/>
        <w:jc w:val="both"/>
        <w:rPr>
          <w:lang w:val="en-US" w:eastAsia="zh-CN"/>
        </w:rPr>
      </w:pPr>
      <w:r>
        <w:rPr>
          <w:lang w:val="en-US" w:eastAsia="zh-CN"/>
        </w:rPr>
        <w:t>In order to support multiplexing and/or frequency reuse and/or spatial reuse in NR-U, we can consider blank pattern method in addition to CCA detection approach, which was also mentioned in the other companion contribution [</w:t>
      </w:r>
      <w:r>
        <w:rPr>
          <w:rFonts w:hint="eastAsia"/>
          <w:lang w:val="en-US" w:eastAsia="zh-CN"/>
        </w:rPr>
        <w:t>6</w:t>
      </w:r>
      <w:r>
        <w:rPr>
          <w:lang w:val="en-US" w:eastAsia="zh-CN"/>
        </w:rPr>
        <w:t>]. Blank pattern can be at the granularity of PRB level, similar to PRB based interlace structure, e.g., one of interlace units can be used as blank pattern for CCA detection as shown in Figure</w:t>
      </w:r>
      <w:r>
        <w:rPr>
          <w:rFonts w:hint="eastAsia"/>
          <w:lang w:val="en-US" w:eastAsia="zh-CN"/>
        </w:rPr>
        <w:t xml:space="preserve"> 8</w:t>
      </w:r>
      <w:r>
        <w:rPr>
          <w:lang w:val="en-US" w:eastAsia="zh-CN"/>
        </w:rPr>
        <w:t xml:space="preserve">. This requires the energy detection at PRB level. The merit of this method is that NR-U nodes can distinguish that the signal observed on the channel is from other NR-U nodes of the same operator or from NR-U nodes of the other operator or from others UE belonging to the same cell or from other RATs and there are less impact on resource allocation. Preferably, different operators/cells configure different blank patterns and NR-U nodes of the same operator/cell configure the same blank pattern. If no energy is detected in those blank patterns, gNB can assume that at least during this period of time, there is no contention from other unlicensed systems, thus it can operate in licensed mode which tends to be more efficient. </w:t>
      </w:r>
    </w:p>
    <w:p>
      <w:pPr>
        <w:tabs>
          <w:tab w:val="left" w:pos="450"/>
          <w:tab w:val="left" w:pos="720"/>
        </w:tabs>
        <w:spacing w:before="137" w:beforeLines="50" w:after="137" w:afterLines="50" w:line="240" w:lineRule="auto"/>
        <w:jc w:val="both"/>
        <w:rPr>
          <w:lang w:val="en-US" w:eastAsia="zh-CN"/>
        </w:rPr>
      </w:pPr>
      <w:r>
        <w:rPr>
          <w:lang w:val="en-US" w:eastAsia="zh-CN"/>
        </w:rPr>
        <w:t>Further, blank pattern can be also reserved during its reservation signal and/or data transmission. NR-U nodes can detect energy on the blank pattern to estimate the source of interference. Besides, for the blank pattern scheme, RAN1 can send an LS to RAN4 in order to evaluate the feasibility of this scheme.</w:t>
      </w:r>
    </w:p>
    <w:p>
      <w:pPr>
        <w:tabs>
          <w:tab w:val="left" w:pos="450"/>
          <w:tab w:val="left" w:pos="720"/>
        </w:tabs>
        <w:spacing w:before="120" w:after="120" w:line="240" w:lineRule="auto"/>
        <w:jc w:val="center"/>
      </w:pPr>
      <w:r>
        <w:object>
          <v:shape id="_x0000_i1032" o:spt="75" type="#_x0000_t75" style="height:195pt;width:296.5pt;" o:ole="t" filled="f" o:preferrelative="t" stroked="f" coordsize="21600,21600">
            <v:path/>
            <v:fill on="f" focussize="0,0"/>
            <v:stroke on="f" joinstyle="miter"/>
            <v:imagedata r:id="rId22" o:title=""/>
            <o:lock v:ext="edit" aspectratio="t"/>
            <w10:wrap type="none"/>
            <w10:anchorlock/>
          </v:shape>
          <o:OLEObject Type="Embed" ProgID="Visio.Drawing.11" ShapeID="_x0000_i1032" DrawAspect="Content" ObjectID="_1468075732" r:id="rId21">
            <o:LockedField>false</o:LockedField>
          </o:OLEObject>
        </w:object>
      </w:r>
    </w:p>
    <w:p>
      <w:pPr>
        <w:tabs>
          <w:tab w:val="left" w:pos="450"/>
          <w:tab w:val="left" w:pos="720"/>
        </w:tabs>
        <w:spacing w:before="120" w:after="120" w:line="240" w:lineRule="auto"/>
        <w:jc w:val="center"/>
        <w:rPr>
          <w:rFonts w:eastAsia="宋体"/>
          <w:b/>
          <w:bCs/>
          <w:lang w:val="en-US" w:eastAsia="zh-CN"/>
        </w:rPr>
      </w:pPr>
      <w:r>
        <w:rPr>
          <w:rFonts w:hint="eastAsia" w:eastAsia="宋体"/>
          <w:b/>
          <w:bCs/>
          <w:lang w:val="en-US" w:eastAsia="zh-CN"/>
        </w:rPr>
        <w:t>Figure8. Blank pattern for PRB based interlace structure</w:t>
      </w:r>
      <w:r>
        <w:rPr>
          <w:rFonts w:eastAsia="宋体"/>
          <w:b/>
          <w:bCs/>
          <w:lang w:val="en-US" w:eastAsia="zh-CN"/>
        </w:rPr>
        <w:t xml:space="preserve"> for uplink </w:t>
      </w:r>
    </w:p>
    <w:p>
      <w:pPr>
        <w:tabs>
          <w:tab w:val="left" w:pos="450"/>
          <w:tab w:val="left" w:pos="720"/>
        </w:tabs>
        <w:spacing w:before="137" w:beforeLines="50" w:after="137" w:afterLines="50" w:line="240" w:lineRule="auto"/>
        <w:jc w:val="both"/>
        <w:rPr>
          <w:lang w:val="en-US" w:eastAsia="zh-CN"/>
        </w:rPr>
      </w:pPr>
      <w:r>
        <w:rPr>
          <w:lang w:val="en-US" w:eastAsia="zh-CN"/>
        </w:rPr>
        <w:t xml:space="preserve">An example is given to illustrate the blank pattern method to support multi-user multiplexing in the same cell or frequency reuse of inter-cell of the same operator. As shown in Figure </w:t>
      </w:r>
      <w:r>
        <w:rPr>
          <w:rFonts w:hint="eastAsia"/>
          <w:lang w:val="en-US" w:eastAsia="zh-CN"/>
        </w:rPr>
        <w:t>8</w:t>
      </w:r>
      <w:r>
        <w:rPr>
          <w:lang w:val="en-US" w:eastAsia="zh-CN"/>
        </w:rPr>
        <w:t xml:space="preserve">, orange color part of the picture denotes the CCA detection pattern. Assuming that node1 and Node 2 belong to operator 1/cell 1, the same CCA detection pattern is configured for Node 1 and Node 2. If the node1 first detects the channel idle before transmission, it transmits on at least one of white part or interlace-based scheduling resources and does not transmit any information on the blank identification area in Figure </w:t>
      </w:r>
      <w:r>
        <w:rPr>
          <w:rFonts w:hint="eastAsia"/>
          <w:lang w:val="en-US" w:eastAsia="zh-CN"/>
        </w:rPr>
        <w:t>8</w:t>
      </w:r>
      <w:r>
        <w:rPr>
          <w:lang w:val="en-US" w:eastAsia="zh-CN"/>
        </w:rPr>
        <w:t>. If the detected energy on the blank pattern for Node 2 is lower than the threshold T1, then Node 2 assumes that the current channel is idle and can be reused or multiplexed. Or if the detected energy on the blank pattern for Node 2 is larger than T1 while detected energy on the resources outside the blank pattern in the whole bandwidth is lower than the threshold T2, Node 2 thinks that frequency reuse/multiplexing can be realized, e.g., T1 &lt; T2. Similarly, if Node 1 and Node 2 is scheduled or allocated on the same time-frequency resource along with different beam direction, the blank pattern method is also applicable to spatial reuse of Node 1 and Node 2.</w:t>
      </w:r>
    </w:p>
    <w:p>
      <w:pPr>
        <w:spacing w:before="137" w:beforeLines="50" w:after="137" w:afterLines="50" w:line="240" w:lineRule="auto"/>
        <w:jc w:val="both"/>
        <w:rPr>
          <w:i/>
          <w:iCs/>
          <w:lang w:val="en-US" w:eastAsia="zh-CN"/>
        </w:rPr>
      </w:pPr>
      <w:r>
        <w:rPr>
          <w:rFonts w:hint="eastAsia"/>
          <w:b/>
          <w:bCs/>
          <w:lang w:val="en-US" w:eastAsia="zh-CN"/>
        </w:rPr>
        <w:t xml:space="preserve">Proposal 14: </w:t>
      </w:r>
      <w:bookmarkStart w:id="5"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hint="eastAsia" w:eastAsia="宋体"/>
          <w:i/>
          <w:iCs/>
          <w:lang w:val="en-US" w:eastAsia="zh-CN"/>
        </w:rPr>
        <w:t xml:space="preserve">should </w:t>
      </w:r>
      <w:r>
        <w:rPr>
          <w:rFonts w:hint="eastAsia"/>
          <w:i/>
          <w:iCs/>
          <w:lang w:val="en-US" w:eastAsia="zh-CN"/>
        </w:rPr>
        <w:t>be supported in NR-U</w:t>
      </w:r>
      <w:bookmarkEnd w:id="5"/>
      <w:r>
        <w:rPr>
          <w:rFonts w:hint="eastAsia"/>
          <w:i/>
          <w:iCs/>
          <w:lang w:val="en-US" w:eastAsia="zh-CN"/>
        </w:rPr>
        <w:t xml:space="preserve"> and some methods </w:t>
      </w:r>
      <w:r>
        <w:rPr>
          <w:i/>
          <w:iCs/>
          <w:lang w:val="en-US" w:eastAsia="zh-CN"/>
        </w:rPr>
        <w:t>of</w:t>
      </w:r>
      <w:r>
        <w:rPr>
          <w:rFonts w:hint="eastAsia"/>
          <w:i/>
          <w:iCs/>
          <w:lang w:val="en-US" w:eastAsia="zh-CN"/>
        </w:rPr>
        <w:t xml:space="preserve"> frequency reuse/multiplexing can be considered such as PRB based interlace structure of blank pattern method.</w:t>
      </w:r>
    </w:p>
    <w:p>
      <w:pPr>
        <w:spacing w:before="137" w:beforeLines="50" w:after="137" w:afterLines="50" w:line="240" w:lineRule="auto"/>
        <w:jc w:val="both"/>
        <w:rPr>
          <w:i/>
          <w:iCs/>
          <w:lang w:val="en-US" w:eastAsia="zh-CN"/>
        </w:rPr>
      </w:pPr>
      <w:r>
        <w:rPr>
          <w:rFonts w:hint="eastAsia"/>
          <w:b/>
          <w:bCs/>
          <w:lang w:val="en-US" w:eastAsia="zh-CN"/>
        </w:rPr>
        <w:t xml:space="preserve">Proposal 15: </w:t>
      </w:r>
      <w:r>
        <w:rPr>
          <w:rFonts w:hint="eastAsia"/>
          <w:i/>
          <w:iCs/>
          <w:lang w:val="en-US" w:eastAsia="zh-CN"/>
        </w:rPr>
        <w:t>For blank pattern scheme, RAN1 can send a</w:t>
      </w:r>
      <w:r>
        <w:rPr>
          <w:i/>
          <w:iCs/>
          <w:lang w:val="en-US" w:eastAsia="zh-CN"/>
        </w:rPr>
        <w:t>n</w:t>
      </w:r>
      <w:r>
        <w:rPr>
          <w:rFonts w:hint="eastAsia"/>
          <w:i/>
          <w:iCs/>
          <w:lang w:val="en-US" w:eastAsia="zh-CN"/>
        </w:rPr>
        <w:t xml:space="preserve"> LS to RAN4 in order to evaluate the feasibility of this scheme.</w:t>
      </w:r>
    </w:p>
    <w:p>
      <w:pPr>
        <w:pStyle w:val="4"/>
        <w:spacing w:before="120" w:after="120" w:line="240" w:lineRule="auto"/>
        <w:rPr>
          <w:rFonts w:ascii="Times New Roman" w:hAnsi="Times New Roman" w:cs="Times New Roman"/>
          <w:b/>
          <w:bCs w:val="0"/>
          <w:sz w:val="21"/>
          <w:szCs w:val="21"/>
          <w:lang w:val="en-US" w:eastAsia="zh-CN"/>
        </w:rPr>
      </w:pPr>
      <w:r>
        <w:rPr>
          <w:rFonts w:hint="eastAsia" w:ascii="Times New Roman" w:hAnsi="Times New Roman" w:eastAsia="宋体" w:cs="Times New Roman"/>
          <w:b/>
          <w:bCs w:val="0"/>
          <w:sz w:val="21"/>
          <w:szCs w:val="21"/>
          <w:lang w:val="en-US" w:eastAsia="zh-CN"/>
        </w:rPr>
        <w:t xml:space="preserve"> </w:t>
      </w:r>
      <w:r>
        <w:rPr>
          <w:rFonts w:ascii="Times New Roman" w:hAnsi="Times New Roman" w:eastAsia="宋体" w:cs="Times New Roman"/>
          <w:b/>
          <w:bCs w:val="0"/>
          <w:sz w:val="21"/>
          <w:szCs w:val="21"/>
          <w:lang w:eastAsia="zh-CN"/>
        </w:rPr>
        <w:t>Simulation</w:t>
      </w:r>
    </w:p>
    <w:p>
      <w:pPr>
        <w:tabs>
          <w:tab w:val="left" w:pos="450"/>
          <w:tab w:val="left" w:pos="720"/>
        </w:tabs>
        <w:spacing w:before="137" w:beforeLines="50" w:after="137" w:afterLines="50" w:line="240" w:lineRule="auto"/>
        <w:jc w:val="both"/>
        <w:rPr>
          <w:lang w:val="en-US" w:eastAsia="zh-CN"/>
        </w:rPr>
      </w:pPr>
      <w:r>
        <w:rPr>
          <w:lang w:val="en-US" w:eastAsia="zh-CN"/>
        </w:rPr>
        <w:t>In t</w:t>
      </w:r>
      <w:r>
        <w:rPr>
          <w:rFonts w:hint="eastAsia"/>
          <w:lang w:val="en-US" w:eastAsia="zh-CN"/>
        </w:rPr>
        <w:t>his section</w:t>
      </w:r>
      <w:r>
        <w:rPr>
          <w:lang w:val="en-US" w:eastAsia="zh-CN"/>
        </w:rPr>
        <w:t xml:space="preserve">, </w:t>
      </w:r>
      <w:r>
        <w:rPr>
          <w:rFonts w:hint="eastAsia"/>
          <w:lang w:val="en-US" w:eastAsia="zh-CN"/>
        </w:rPr>
        <w:t xml:space="preserve">the </w:t>
      </w:r>
      <w:r>
        <w:rPr>
          <w:lang w:val="en-US" w:eastAsia="zh-CN"/>
        </w:rPr>
        <w:t>c</w:t>
      </w:r>
      <w:r>
        <w:rPr>
          <w:rFonts w:hint="eastAsia"/>
          <w:lang w:val="en-US" w:eastAsia="zh-CN"/>
        </w:rPr>
        <w:t xml:space="preserve">oexistence evaluation </w:t>
      </w:r>
      <w:r>
        <w:rPr>
          <w:lang w:val="en-US" w:eastAsia="zh-CN"/>
        </w:rPr>
        <w:t>r</w:t>
      </w:r>
      <w:r>
        <w:rPr>
          <w:rFonts w:hint="eastAsia"/>
          <w:lang w:val="en-US" w:eastAsia="zh-CN"/>
        </w:rPr>
        <w:t xml:space="preserve">esults for indoor deployment for NR-U+NR-U with FTP traffic </w:t>
      </w:r>
      <w:r>
        <w:rPr>
          <w:lang w:val="en-US" w:eastAsia="zh-CN"/>
        </w:rPr>
        <w:t>are provided. P</w:t>
      </w:r>
      <w:r>
        <w:rPr>
          <w:rFonts w:hint="eastAsia"/>
          <w:lang w:val="en-US" w:eastAsia="zh-CN"/>
        </w:rPr>
        <w:t xml:space="preserve">erformance </w:t>
      </w:r>
      <w:r>
        <w:rPr>
          <w:lang w:val="en-US" w:eastAsia="zh-CN"/>
        </w:rPr>
        <w:t xml:space="preserve">is compared between </w:t>
      </w:r>
      <w:r>
        <w:rPr>
          <w:rFonts w:hint="eastAsia"/>
          <w:lang w:val="en-US" w:eastAsia="zh-CN"/>
        </w:rPr>
        <w:t xml:space="preserve">the proposed multiplexing scheme </w:t>
      </w:r>
      <w:r>
        <w:rPr>
          <w:lang w:val="en-US" w:eastAsia="zh-CN"/>
        </w:rPr>
        <w:t>and</w:t>
      </w:r>
      <w:r>
        <w:rPr>
          <w:rFonts w:hint="eastAsia"/>
          <w:lang w:val="en-US" w:eastAsia="zh-CN"/>
        </w:rPr>
        <w:t xml:space="preserve"> the no-multiplexing scheme.</w:t>
      </w:r>
    </w:p>
    <w:p>
      <w:pPr>
        <w:tabs>
          <w:tab w:val="left" w:pos="450"/>
          <w:tab w:val="left" w:pos="720"/>
        </w:tabs>
        <w:spacing w:before="120" w:after="120" w:line="240" w:lineRule="auto"/>
        <w:jc w:val="center"/>
        <w:rPr>
          <w:rFonts w:eastAsiaTheme="minorEastAsia"/>
          <w:lang w:eastAsia="zh-CN"/>
        </w:rPr>
      </w:pPr>
      <w:r>
        <w:rPr>
          <w:rFonts w:eastAsiaTheme="minorEastAsia"/>
          <w:lang w:eastAsia="zh-CN"/>
        </w:rPr>
        <w:t>Table</w:t>
      </w:r>
      <w:r>
        <w:rPr>
          <w:rFonts w:hint="eastAsia" w:eastAsiaTheme="minorEastAsia"/>
          <w:lang w:val="en-US" w:eastAsia="zh-CN"/>
        </w:rPr>
        <w:t xml:space="preserve"> 2.</w:t>
      </w:r>
      <w:r>
        <w:rPr>
          <w:rFonts w:eastAsiaTheme="minorEastAsia"/>
          <w:lang w:eastAsia="zh-CN"/>
        </w:rPr>
        <w:t xml:space="preserve"> </w:t>
      </w:r>
      <w:r>
        <w:rPr>
          <w:rFonts w:hint="eastAsia" w:eastAsiaTheme="minorEastAsia"/>
          <w:lang w:val="en-US" w:eastAsia="zh-CN"/>
        </w:rPr>
        <w:t>NR-U</w:t>
      </w:r>
      <w:r>
        <w:rPr>
          <w:rFonts w:eastAsiaTheme="minorEastAsia"/>
          <w:lang w:eastAsia="zh-CN"/>
        </w:rPr>
        <w:t xml:space="preserve"> and </w:t>
      </w:r>
      <w:r>
        <w:rPr>
          <w:rFonts w:hint="eastAsia" w:eastAsiaTheme="minorEastAsia"/>
          <w:lang w:val="en-US" w:eastAsia="zh-CN"/>
        </w:rPr>
        <w:t>NR-U</w:t>
      </w:r>
      <w:r>
        <w:rPr>
          <w:rFonts w:eastAsiaTheme="minorEastAsia"/>
          <w:lang w:eastAsia="zh-CN"/>
        </w:rPr>
        <w:t xml:space="preserve"> coexistence evaluation results for indoor deployment</w:t>
      </w:r>
    </w:p>
    <w:tbl>
      <w:tblPr>
        <w:tblStyle w:val="33"/>
        <w:tblW w:w="9352" w:type="dxa"/>
        <w:jc w:val="center"/>
        <w:tblInd w:w="-1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50"/>
        <w:gridCol w:w="523"/>
        <w:gridCol w:w="1209"/>
        <w:gridCol w:w="1095"/>
        <w:gridCol w:w="1110"/>
        <w:gridCol w:w="1200"/>
        <w:gridCol w:w="1215"/>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473" w:type="dxa"/>
            <w:gridSpan w:val="2"/>
            <w:vMerge w:val="restart"/>
            <w:vAlign w:val="center"/>
          </w:tcPr>
          <w:p>
            <w:pPr>
              <w:spacing w:after="0" w:line="240" w:lineRule="auto"/>
              <w:contextualSpacing/>
              <w:jc w:val="center"/>
              <w:rPr>
                <w:rFonts w:eastAsia="宋体"/>
                <w:bCs/>
              </w:rPr>
            </w:pPr>
            <w:bookmarkStart w:id="6" w:name="OLE_LINK3"/>
            <w:r>
              <w:rPr>
                <w:rFonts w:eastAsia="宋体"/>
                <w:bCs/>
                <w:lang w:val="en-US" w:eastAsia="zh-CN"/>
              </w:rPr>
              <w:t>Reported parameters</w:t>
            </w:r>
          </w:p>
        </w:tc>
        <w:tc>
          <w:tcPr>
            <w:tcW w:w="6879" w:type="dxa"/>
            <w:gridSpan w:val="6"/>
            <w:vAlign w:val="center"/>
          </w:tcPr>
          <w:p>
            <w:pPr>
              <w:snapToGrid w:val="0"/>
              <w:spacing w:after="0" w:line="240" w:lineRule="auto"/>
              <w:contextualSpacing/>
              <w:jc w:val="center"/>
              <w:rPr>
                <w:rFonts w:eastAsia="宋体"/>
                <w:bCs/>
                <w:lang w:val="en-US" w:eastAsia="zh-CN"/>
              </w:rPr>
            </w:pPr>
            <w:r>
              <w:rPr>
                <w:bCs/>
                <w:lang w:val="en-US" w:eastAsia="zh-CN"/>
              </w:rPr>
              <w:t>-72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04" w:hRule="atLeast"/>
          <w:jc w:val="center"/>
        </w:trPr>
        <w:tc>
          <w:tcPr>
            <w:tcW w:w="2473" w:type="dxa"/>
            <w:gridSpan w:val="2"/>
            <w:vMerge w:val="continue"/>
            <w:vAlign w:val="center"/>
          </w:tcPr>
          <w:p>
            <w:pPr>
              <w:spacing w:after="0" w:line="240" w:lineRule="auto"/>
              <w:jc w:val="center"/>
              <w:rPr>
                <w:bCs/>
              </w:rPr>
            </w:pPr>
          </w:p>
        </w:tc>
        <w:tc>
          <w:tcPr>
            <w:tcW w:w="1209" w:type="dxa"/>
            <w:vAlign w:val="center"/>
          </w:tcPr>
          <w:p>
            <w:pPr>
              <w:pStyle w:val="24"/>
              <w:spacing w:before="0" w:beforeAutospacing="0" w:after="0" w:afterAutospacing="0" w:line="240" w:lineRule="auto"/>
              <w:jc w:val="center"/>
              <w:rPr>
                <w:rFonts w:eastAsia="宋体"/>
                <w:bCs/>
                <w:sz w:val="20"/>
                <w:szCs w:val="20"/>
              </w:rPr>
            </w:pPr>
            <w:r>
              <w:rPr>
                <w:bCs/>
                <w:sz w:val="20"/>
                <w:szCs w:val="20"/>
              </w:rPr>
              <w:t>NoReuse</w:t>
            </w:r>
          </w:p>
        </w:tc>
        <w:tc>
          <w:tcPr>
            <w:tcW w:w="1095" w:type="dxa"/>
            <w:vAlign w:val="center"/>
          </w:tcPr>
          <w:p>
            <w:pPr>
              <w:pStyle w:val="24"/>
              <w:spacing w:before="0" w:beforeAutospacing="0" w:after="0" w:afterAutospacing="0" w:line="240" w:lineRule="auto"/>
              <w:jc w:val="center"/>
              <w:rPr>
                <w:rFonts w:eastAsia="宋体"/>
                <w:bCs/>
                <w:sz w:val="20"/>
                <w:szCs w:val="20"/>
              </w:rPr>
            </w:pPr>
            <w:r>
              <w:rPr>
                <w:bCs/>
                <w:sz w:val="20"/>
                <w:szCs w:val="20"/>
              </w:rPr>
              <w:t>ReUse</w:t>
            </w:r>
          </w:p>
        </w:tc>
        <w:tc>
          <w:tcPr>
            <w:tcW w:w="1110" w:type="dxa"/>
            <w:vAlign w:val="center"/>
          </w:tcPr>
          <w:p>
            <w:pPr>
              <w:pStyle w:val="24"/>
              <w:spacing w:before="0" w:beforeAutospacing="0" w:after="0" w:afterAutospacing="0" w:line="240" w:lineRule="auto"/>
              <w:jc w:val="center"/>
              <w:rPr>
                <w:rFonts w:eastAsia="宋体"/>
                <w:bCs/>
                <w:sz w:val="20"/>
                <w:szCs w:val="20"/>
              </w:rPr>
            </w:pPr>
            <w:r>
              <w:rPr>
                <w:bCs/>
                <w:sz w:val="20"/>
                <w:szCs w:val="20"/>
              </w:rPr>
              <w:t>NoReuse</w:t>
            </w:r>
          </w:p>
        </w:tc>
        <w:tc>
          <w:tcPr>
            <w:tcW w:w="1200" w:type="dxa"/>
            <w:vAlign w:val="center"/>
          </w:tcPr>
          <w:p>
            <w:pPr>
              <w:pStyle w:val="24"/>
              <w:spacing w:before="0" w:beforeAutospacing="0" w:after="0" w:afterAutospacing="0" w:line="240" w:lineRule="auto"/>
              <w:jc w:val="center"/>
              <w:rPr>
                <w:rFonts w:eastAsia="宋体"/>
                <w:bCs/>
                <w:sz w:val="20"/>
                <w:szCs w:val="20"/>
              </w:rPr>
            </w:pPr>
            <w:r>
              <w:rPr>
                <w:bCs/>
                <w:sz w:val="20"/>
                <w:szCs w:val="20"/>
              </w:rPr>
              <w:t>-ReUse</w:t>
            </w:r>
          </w:p>
        </w:tc>
        <w:tc>
          <w:tcPr>
            <w:tcW w:w="1215" w:type="dxa"/>
            <w:vAlign w:val="center"/>
          </w:tcPr>
          <w:p>
            <w:pPr>
              <w:pStyle w:val="24"/>
              <w:spacing w:before="0" w:beforeAutospacing="0" w:after="0" w:afterAutospacing="0" w:line="240" w:lineRule="auto"/>
              <w:jc w:val="center"/>
              <w:rPr>
                <w:bCs/>
                <w:sz w:val="20"/>
                <w:szCs w:val="20"/>
              </w:rPr>
            </w:pPr>
            <w:r>
              <w:rPr>
                <w:bCs/>
                <w:sz w:val="20"/>
                <w:szCs w:val="20"/>
              </w:rPr>
              <w:t>NoReuse</w:t>
            </w:r>
          </w:p>
        </w:tc>
        <w:tc>
          <w:tcPr>
            <w:tcW w:w="1050" w:type="dxa"/>
            <w:vAlign w:val="center"/>
          </w:tcPr>
          <w:p>
            <w:pPr>
              <w:pStyle w:val="24"/>
              <w:spacing w:before="0" w:beforeAutospacing="0" w:after="0" w:afterAutospacing="0" w:line="240" w:lineRule="auto"/>
              <w:jc w:val="center"/>
              <w:rPr>
                <w:bCs/>
                <w:sz w:val="20"/>
                <w:szCs w:val="20"/>
              </w:rPr>
            </w:pPr>
            <w:r>
              <w:rPr>
                <w:bCs/>
                <w:sz w:val="20"/>
                <w:szCs w:val="20"/>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restart"/>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DL:   UPT CDF [Mbps]</w:t>
            </w: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w:t>
            </w:r>
          </w:p>
        </w:tc>
        <w:tc>
          <w:tcPr>
            <w:tcW w:w="1209" w:type="dxa"/>
            <w:vAlign w:val="center"/>
          </w:tcPr>
          <w:p>
            <w:pPr>
              <w:spacing w:after="0" w:line="240" w:lineRule="auto"/>
              <w:jc w:val="center"/>
              <w:rPr>
                <w:rFonts w:eastAsia="宋体"/>
                <w:bCs/>
                <w:lang w:val="en-US"/>
              </w:rPr>
            </w:pPr>
            <w:r>
              <w:rPr>
                <w:bCs/>
                <w:lang w:val="zh-CN"/>
              </w:rPr>
              <w:t>55.</w:t>
            </w:r>
            <w:r>
              <w:rPr>
                <w:bCs/>
                <w:lang w:val="en-US"/>
              </w:rPr>
              <w:t>4</w:t>
            </w:r>
          </w:p>
        </w:tc>
        <w:tc>
          <w:tcPr>
            <w:tcW w:w="1095" w:type="dxa"/>
            <w:vAlign w:val="center"/>
          </w:tcPr>
          <w:p>
            <w:pPr>
              <w:spacing w:after="0" w:line="240" w:lineRule="auto"/>
              <w:jc w:val="center"/>
              <w:rPr>
                <w:rFonts w:eastAsia="宋体"/>
                <w:bCs/>
              </w:rPr>
            </w:pPr>
            <w:r>
              <w:rPr>
                <w:bCs/>
                <w:lang w:val="zh-CN"/>
              </w:rPr>
              <w:t>55.9</w:t>
            </w:r>
          </w:p>
        </w:tc>
        <w:tc>
          <w:tcPr>
            <w:tcW w:w="1110" w:type="dxa"/>
            <w:vAlign w:val="center"/>
          </w:tcPr>
          <w:p>
            <w:pPr>
              <w:spacing w:after="0" w:line="240" w:lineRule="auto"/>
              <w:jc w:val="center"/>
              <w:rPr>
                <w:rFonts w:eastAsia="宋体"/>
                <w:bCs/>
              </w:rPr>
            </w:pPr>
            <w:r>
              <w:rPr>
                <w:bCs/>
                <w:lang w:val="zh-CN"/>
              </w:rPr>
              <w:t>34.2</w:t>
            </w:r>
          </w:p>
        </w:tc>
        <w:tc>
          <w:tcPr>
            <w:tcW w:w="1200" w:type="dxa"/>
            <w:vAlign w:val="center"/>
          </w:tcPr>
          <w:p>
            <w:pPr>
              <w:spacing w:after="0" w:line="240" w:lineRule="auto"/>
              <w:jc w:val="center"/>
              <w:rPr>
                <w:rFonts w:eastAsia="宋体"/>
                <w:bCs/>
              </w:rPr>
            </w:pPr>
            <w:r>
              <w:rPr>
                <w:bCs/>
                <w:lang w:val="zh-CN"/>
              </w:rPr>
              <w:t>34.94</w:t>
            </w:r>
          </w:p>
        </w:tc>
        <w:tc>
          <w:tcPr>
            <w:tcW w:w="1215" w:type="dxa"/>
            <w:vAlign w:val="center"/>
          </w:tcPr>
          <w:p>
            <w:pPr>
              <w:spacing w:after="0" w:line="240" w:lineRule="auto"/>
              <w:jc w:val="center"/>
              <w:rPr>
                <w:bCs/>
                <w:lang w:val="en-US"/>
              </w:rPr>
            </w:pPr>
            <w:r>
              <w:rPr>
                <w:bCs/>
                <w:lang w:val="zh-CN"/>
              </w:rPr>
              <w:t>16.</w:t>
            </w:r>
            <w:r>
              <w:rPr>
                <w:bCs/>
                <w:lang w:val="en-US"/>
              </w:rPr>
              <w:t>6</w:t>
            </w:r>
          </w:p>
        </w:tc>
        <w:tc>
          <w:tcPr>
            <w:tcW w:w="1050" w:type="dxa"/>
            <w:vAlign w:val="center"/>
          </w:tcPr>
          <w:p>
            <w:pPr>
              <w:spacing w:after="0" w:line="240" w:lineRule="auto"/>
              <w:jc w:val="center"/>
              <w:rPr>
                <w:bCs/>
                <w:lang w:val="zh-CN"/>
              </w:rPr>
            </w:pPr>
            <w:r>
              <w:rPr>
                <w:bCs/>
                <w:lang w:val="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50%</w:t>
            </w:r>
          </w:p>
        </w:tc>
        <w:tc>
          <w:tcPr>
            <w:tcW w:w="1209" w:type="dxa"/>
            <w:vAlign w:val="center"/>
          </w:tcPr>
          <w:p>
            <w:pPr>
              <w:spacing w:after="0" w:line="240" w:lineRule="auto"/>
              <w:jc w:val="center"/>
              <w:rPr>
                <w:rFonts w:eastAsia="宋体"/>
                <w:bCs/>
                <w:lang w:val="en-US"/>
              </w:rPr>
            </w:pPr>
            <w:r>
              <w:rPr>
                <w:bCs/>
                <w:lang w:val="zh-CN"/>
              </w:rPr>
              <w:t>144.</w:t>
            </w:r>
            <w:r>
              <w:rPr>
                <w:bCs/>
                <w:lang w:val="en-US"/>
              </w:rPr>
              <w:t>4</w:t>
            </w:r>
          </w:p>
        </w:tc>
        <w:tc>
          <w:tcPr>
            <w:tcW w:w="1095" w:type="dxa"/>
            <w:vAlign w:val="center"/>
          </w:tcPr>
          <w:p>
            <w:pPr>
              <w:spacing w:after="0" w:line="240" w:lineRule="auto"/>
              <w:jc w:val="center"/>
              <w:rPr>
                <w:rFonts w:eastAsia="宋体"/>
                <w:bCs/>
                <w:lang w:val="en-US"/>
              </w:rPr>
            </w:pPr>
            <w:r>
              <w:rPr>
                <w:bCs/>
                <w:lang w:val="zh-CN"/>
              </w:rPr>
              <w:t>144.</w:t>
            </w:r>
            <w:r>
              <w:rPr>
                <w:bCs/>
                <w:lang w:val="en-US"/>
              </w:rPr>
              <w:t>5</w:t>
            </w:r>
          </w:p>
        </w:tc>
        <w:tc>
          <w:tcPr>
            <w:tcW w:w="1110" w:type="dxa"/>
            <w:vAlign w:val="center"/>
          </w:tcPr>
          <w:p>
            <w:pPr>
              <w:spacing w:after="0" w:line="240" w:lineRule="auto"/>
              <w:jc w:val="center"/>
              <w:rPr>
                <w:rFonts w:eastAsia="宋体"/>
                <w:bCs/>
              </w:rPr>
            </w:pPr>
            <w:r>
              <w:rPr>
                <w:bCs/>
                <w:lang w:val="zh-CN"/>
              </w:rPr>
              <w:t>130.8</w:t>
            </w:r>
          </w:p>
        </w:tc>
        <w:tc>
          <w:tcPr>
            <w:tcW w:w="1200" w:type="dxa"/>
            <w:vAlign w:val="center"/>
          </w:tcPr>
          <w:p>
            <w:pPr>
              <w:spacing w:after="0" w:line="240" w:lineRule="auto"/>
              <w:jc w:val="center"/>
              <w:rPr>
                <w:rFonts w:eastAsia="宋体"/>
                <w:bCs/>
                <w:lang w:val="en-US"/>
              </w:rPr>
            </w:pPr>
            <w:r>
              <w:rPr>
                <w:bCs/>
                <w:lang w:val="zh-CN"/>
              </w:rPr>
              <w:t>130.</w:t>
            </w:r>
            <w:r>
              <w:rPr>
                <w:bCs/>
                <w:lang w:val="en-US"/>
              </w:rPr>
              <w:t>1</w:t>
            </w:r>
          </w:p>
        </w:tc>
        <w:tc>
          <w:tcPr>
            <w:tcW w:w="1215" w:type="dxa"/>
            <w:vAlign w:val="center"/>
          </w:tcPr>
          <w:p>
            <w:pPr>
              <w:spacing w:after="0" w:line="240" w:lineRule="auto"/>
              <w:jc w:val="center"/>
              <w:rPr>
                <w:bCs/>
                <w:lang w:val="en-US"/>
              </w:rPr>
            </w:pPr>
            <w:r>
              <w:rPr>
                <w:bCs/>
                <w:lang w:val="zh-CN"/>
              </w:rPr>
              <w:t>70.</w:t>
            </w:r>
            <w:r>
              <w:rPr>
                <w:bCs/>
                <w:lang w:val="en-US"/>
              </w:rPr>
              <w:t>4</w:t>
            </w:r>
          </w:p>
        </w:tc>
        <w:tc>
          <w:tcPr>
            <w:tcW w:w="1050" w:type="dxa"/>
            <w:vAlign w:val="center"/>
          </w:tcPr>
          <w:p>
            <w:pPr>
              <w:spacing w:after="0" w:line="240" w:lineRule="auto"/>
              <w:jc w:val="center"/>
              <w:rPr>
                <w:bCs/>
                <w:lang w:val="en-US"/>
              </w:rPr>
            </w:pPr>
            <w:r>
              <w:rPr>
                <w:bCs/>
                <w:lang w:val="zh-CN"/>
              </w:rPr>
              <w:t>79.</w:t>
            </w:r>
            <w:r>
              <w:rPr>
                <w:bCs/>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95%</w:t>
            </w:r>
          </w:p>
        </w:tc>
        <w:tc>
          <w:tcPr>
            <w:tcW w:w="1209" w:type="dxa"/>
            <w:vAlign w:val="center"/>
          </w:tcPr>
          <w:p>
            <w:pPr>
              <w:spacing w:after="0" w:line="240" w:lineRule="auto"/>
              <w:jc w:val="center"/>
              <w:rPr>
                <w:rFonts w:eastAsia="宋体"/>
                <w:bCs/>
                <w:lang w:val="en-US"/>
              </w:rPr>
            </w:pPr>
            <w:r>
              <w:rPr>
                <w:bCs/>
                <w:lang w:val="zh-CN"/>
              </w:rPr>
              <w:t>184.</w:t>
            </w:r>
            <w:r>
              <w:rPr>
                <w:bCs/>
                <w:lang w:val="en-US"/>
              </w:rPr>
              <w:t>6</w:t>
            </w:r>
          </w:p>
        </w:tc>
        <w:tc>
          <w:tcPr>
            <w:tcW w:w="1095" w:type="dxa"/>
            <w:vAlign w:val="center"/>
          </w:tcPr>
          <w:p>
            <w:pPr>
              <w:spacing w:after="0" w:line="240" w:lineRule="auto"/>
              <w:jc w:val="center"/>
              <w:rPr>
                <w:rFonts w:eastAsia="宋体"/>
                <w:bCs/>
                <w:lang w:val="en-US"/>
              </w:rPr>
            </w:pPr>
            <w:r>
              <w:rPr>
                <w:bCs/>
                <w:lang w:val="zh-CN"/>
              </w:rPr>
              <w:t>192</w:t>
            </w:r>
            <w:r>
              <w:rPr>
                <w:bCs/>
                <w:lang w:val="en-US"/>
              </w:rPr>
              <w:t>3</w:t>
            </w:r>
          </w:p>
        </w:tc>
        <w:tc>
          <w:tcPr>
            <w:tcW w:w="1110" w:type="dxa"/>
            <w:vAlign w:val="center"/>
          </w:tcPr>
          <w:p>
            <w:pPr>
              <w:spacing w:after="0" w:line="240" w:lineRule="auto"/>
              <w:jc w:val="center"/>
              <w:rPr>
                <w:rFonts w:eastAsia="宋体"/>
                <w:bCs/>
              </w:rPr>
            </w:pPr>
            <w:r>
              <w:rPr>
                <w:bCs/>
                <w:lang w:val="zh-CN"/>
              </w:rPr>
              <w:t>155.2</w:t>
            </w:r>
          </w:p>
        </w:tc>
        <w:tc>
          <w:tcPr>
            <w:tcW w:w="1200" w:type="dxa"/>
            <w:vAlign w:val="center"/>
          </w:tcPr>
          <w:p>
            <w:pPr>
              <w:spacing w:after="0" w:line="240" w:lineRule="auto"/>
              <w:jc w:val="center"/>
              <w:rPr>
                <w:rFonts w:eastAsia="宋体"/>
                <w:bCs/>
                <w:lang w:val="en-US"/>
              </w:rPr>
            </w:pPr>
            <w:r>
              <w:rPr>
                <w:bCs/>
                <w:lang w:val="zh-CN"/>
              </w:rPr>
              <w:t>169.</w:t>
            </w:r>
            <w:r>
              <w:rPr>
                <w:bCs/>
                <w:lang w:val="en-US"/>
              </w:rPr>
              <w:t>7</w:t>
            </w:r>
          </w:p>
        </w:tc>
        <w:tc>
          <w:tcPr>
            <w:tcW w:w="1215" w:type="dxa"/>
            <w:vAlign w:val="center"/>
          </w:tcPr>
          <w:p>
            <w:pPr>
              <w:spacing w:after="0" w:line="240" w:lineRule="auto"/>
              <w:jc w:val="center"/>
              <w:rPr>
                <w:bCs/>
                <w:lang w:val="en-US"/>
              </w:rPr>
            </w:pPr>
            <w:r>
              <w:rPr>
                <w:bCs/>
                <w:lang w:val="zh-CN"/>
              </w:rPr>
              <w:t>112.8</w:t>
            </w:r>
          </w:p>
        </w:tc>
        <w:tc>
          <w:tcPr>
            <w:tcW w:w="1050" w:type="dxa"/>
            <w:vAlign w:val="center"/>
          </w:tcPr>
          <w:p>
            <w:pPr>
              <w:spacing w:after="0" w:line="240" w:lineRule="auto"/>
              <w:jc w:val="center"/>
              <w:rPr>
                <w:bCs/>
                <w:lang w:val="zh-CN"/>
              </w:rPr>
            </w:pPr>
            <w:r>
              <w:rPr>
                <w:bCs/>
                <w:lang w:val="zh-CN"/>
              </w:rPr>
              <w:t>132.3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Mean</w:t>
            </w:r>
          </w:p>
        </w:tc>
        <w:tc>
          <w:tcPr>
            <w:tcW w:w="1209" w:type="dxa"/>
            <w:vAlign w:val="center"/>
          </w:tcPr>
          <w:p>
            <w:pPr>
              <w:spacing w:after="0" w:line="240" w:lineRule="auto"/>
              <w:jc w:val="center"/>
              <w:rPr>
                <w:rFonts w:eastAsia="宋体"/>
                <w:bCs/>
                <w:lang w:val="en-US"/>
              </w:rPr>
            </w:pPr>
            <w:r>
              <w:rPr>
                <w:bCs/>
                <w:lang w:val="zh-CN"/>
              </w:rPr>
              <w:t>140.</w:t>
            </w:r>
            <w:r>
              <w:rPr>
                <w:bCs/>
                <w:lang w:val="en-US"/>
              </w:rPr>
              <w:t>3</w:t>
            </w:r>
          </w:p>
        </w:tc>
        <w:tc>
          <w:tcPr>
            <w:tcW w:w="1095" w:type="dxa"/>
            <w:vAlign w:val="center"/>
          </w:tcPr>
          <w:p>
            <w:pPr>
              <w:spacing w:after="0" w:line="240" w:lineRule="auto"/>
              <w:jc w:val="center"/>
              <w:rPr>
                <w:rFonts w:eastAsia="宋体"/>
                <w:bCs/>
                <w:lang w:val="en-US"/>
              </w:rPr>
            </w:pPr>
            <w:r>
              <w:rPr>
                <w:bCs/>
                <w:lang w:val="zh-CN"/>
              </w:rPr>
              <w:t>141.</w:t>
            </w:r>
            <w:r>
              <w:rPr>
                <w:bCs/>
                <w:lang w:val="en-US"/>
              </w:rPr>
              <w:t>7</w:t>
            </w:r>
          </w:p>
        </w:tc>
        <w:tc>
          <w:tcPr>
            <w:tcW w:w="1110" w:type="dxa"/>
            <w:vAlign w:val="center"/>
          </w:tcPr>
          <w:p>
            <w:pPr>
              <w:spacing w:after="0" w:line="240" w:lineRule="auto"/>
              <w:jc w:val="center"/>
              <w:rPr>
                <w:rFonts w:eastAsia="宋体"/>
                <w:bCs/>
              </w:rPr>
            </w:pPr>
            <w:r>
              <w:rPr>
                <w:bCs/>
                <w:lang w:val="zh-CN"/>
              </w:rPr>
              <w:t>115.4</w:t>
            </w:r>
          </w:p>
        </w:tc>
        <w:tc>
          <w:tcPr>
            <w:tcW w:w="1200" w:type="dxa"/>
            <w:vAlign w:val="center"/>
          </w:tcPr>
          <w:p>
            <w:pPr>
              <w:spacing w:after="0" w:line="240" w:lineRule="auto"/>
              <w:jc w:val="center"/>
              <w:rPr>
                <w:rFonts w:eastAsia="宋体"/>
                <w:bCs/>
              </w:rPr>
            </w:pPr>
            <w:r>
              <w:rPr>
                <w:bCs/>
                <w:lang w:val="zh-CN"/>
              </w:rPr>
              <w:t>118.0</w:t>
            </w:r>
          </w:p>
        </w:tc>
        <w:tc>
          <w:tcPr>
            <w:tcW w:w="1215" w:type="dxa"/>
            <w:vAlign w:val="center"/>
          </w:tcPr>
          <w:p>
            <w:pPr>
              <w:spacing w:after="0" w:line="240" w:lineRule="auto"/>
              <w:jc w:val="center"/>
              <w:rPr>
                <w:bCs/>
                <w:lang w:val="zh-CN"/>
              </w:rPr>
            </w:pPr>
            <w:r>
              <w:rPr>
                <w:bCs/>
                <w:lang w:val="zh-CN"/>
              </w:rPr>
              <w:t>66.5</w:t>
            </w:r>
          </w:p>
        </w:tc>
        <w:tc>
          <w:tcPr>
            <w:tcW w:w="1050" w:type="dxa"/>
            <w:vAlign w:val="center"/>
          </w:tcPr>
          <w:p>
            <w:pPr>
              <w:spacing w:after="0" w:line="240" w:lineRule="auto"/>
              <w:jc w:val="center"/>
              <w:rPr>
                <w:bCs/>
                <w:lang w:val="en-US"/>
              </w:rPr>
            </w:pPr>
            <w:r>
              <w:rPr>
                <w:bCs/>
                <w:lang w:val="zh-CN"/>
              </w:rPr>
              <w:t>77.</w:t>
            </w:r>
            <w:r>
              <w:rPr>
                <w:bCs/>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restart"/>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DL:  Delay CDF [s]</w:t>
            </w: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w:t>
            </w:r>
          </w:p>
        </w:tc>
        <w:tc>
          <w:tcPr>
            <w:tcW w:w="1209" w:type="dxa"/>
            <w:vAlign w:val="center"/>
          </w:tcPr>
          <w:p>
            <w:pPr>
              <w:spacing w:after="0" w:line="240" w:lineRule="auto"/>
              <w:jc w:val="center"/>
              <w:rPr>
                <w:rFonts w:eastAsia="宋体"/>
                <w:bCs/>
              </w:rPr>
            </w:pPr>
            <w:r>
              <w:rPr>
                <w:bCs/>
                <w:lang w:val="zh-CN"/>
              </w:rPr>
              <w:t>0.019</w:t>
            </w:r>
          </w:p>
        </w:tc>
        <w:tc>
          <w:tcPr>
            <w:tcW w:w="1095" w:type="dxa"/>
            <w:vAlign w:val="center"/>
          </w:tcPr>
          <w:p>
            <w:pPr>
              <w:spacing w:after="0" w:line="240" w:lineRule="auto"/>
              <w:jc w:val="center"/>
              <w:rPr>
                <w:rFonts w:eastAsia="宋体"/>
                <w:bCs/>
              </w:rPr>
            </w:pPr>
            <w:r>
              <w:rPr>
                <w:bCs/>
                <w:lang w:val="zh-CN"/>
              </w:rPr>
              <w:t>0.019</w:t>
            </w:r>
          </w:p>
        </w:tc>
        <w:tc>
          <w:tcPr>
            <w:tcW w:w="1110" w:type="dxa"/>
            <w:vAlign w:val="center"/>
          </w:tcPr>
          <w:p>
            <w:pPr>
              <w:spacing w:after="0" w:line="240" w:lineRule="auto"/>
              <w:jc w:val="center"/>
              <w:rPr>
                <w:rFonts w:eastAsia="宋体"/>
                <w:bCs/>
              </w:rPr>
            </w:pPr>
            <w:r>
              <w:rPr>
                <w:bCs/>
                <w:lang w:val="zh-CN"/>
              </w:rPr>
              <w:t>0.019</w:t>
            </w:r>
          </w:p>
        </w:tc>
        <w:tc>
          <w:tcPr>
            <w:tcW w:w="1200" w:type="dxa"/>
            <w:vAlign w:val="center"/>
          </w:tcPr>
          <w:p>
            <w:pPr>
              <w:spacing w:after="0" w:line="240" w:lineRule="auto"/>
              <w:jc w:val="center"/>
              <w:rPr>
                <w:rFonts w:eastAsia="宋体"/>
                <w:bCs/>
              </w:rPr>
            </w:pPr>
            <w:r>
              <w:rPr>
                <w:bCs/>
                <w:lang w:val="zh-CN"/>
              </w:rPr>
              <w:t>0.019</w:t>
            </w:r>
          </w:p>
        </w:tc>
        <w:tc>
          <w:tcPr>
            <w:tcW w:w="1215" w:type="dxa"/>
            <w:vAlign w:val="center"/>
          </w:tcPr>
          <w:p>
            <w:pPr>
              <w:spacing w:after="0" w:line="240" w:lineRule="auto"/>
              <w:jc w:val="center"/>
              <w:rPr>
                <w:bCs/>
                <w:lang w:val="zh-CN"/>
              </w:rPr>
            </w:pPr>
            <w:r>
              <w:rPr>
                <w:bCs/>
                <w:lang w:val="zh-CN"/>
              </w:rPr>
              <w:t>0.021</w:t>
            </w:r>
          </w:p>
        </w:tc>
        <w:tc>
          <w:tcPr>
            <w:tcW w:w="1050" w:type="dxa"/>
            <w:vAlign w:val="center"/>
          </w:tcPr>
          <w:p>
            <w:pPr>
              <w:spacing w:after="0" w:line="240" w:lineRule="auto"/>
              <w:jc w:val="center"/>
              <w:rPr>
                <w:bCs/>
                <w:lang w:val="zh-CN"/>
              </w:rPr>
            </w:pPr>
            <w:r>
              <w:rPr>
                <w:bCs/>
                <w:lang w:val="zh-CN"/>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50%</w:t>
            </w:r>
          </w:p>
        </w:tc>
        <w:tc>
          <w:tcPr>
            <w:tcW w:w="1209" w:type="dxa"/>
            <w:vAlign w:val="center"/>
          </w:tcPr>
          <w:p>
            <w:pPr>
              <w:spacing w:after="0" w:line="240" w:lineRule="auto"/>
              <w:jc w:val="center"/>
              <w:rPr>
                <w:rFonts w:eastAsia="宋体"/>
                <w:bCs/>
              </w:rPr>
            </w:pPr>
            <w:r>
              <w:rPr>
                <w:bCs/>
                <w:lang w:val="zh-CN"/>
              </w:rPr>
              <w:t>0.026</w:t>
            </w:r>
          </w:p>
        </w:tc>
        <w:tc>
          <w:tcPr>
            <w:tcW w:w="1095" w:type="dxa"/>
            <w:vAlign w:val="center"/>
          </w:tcPr>
          <w:p>
            <w:pPr>
              <w:spacing w:after="0" w:line="240" w:lineRule="auto"/>
              <w:jc w:val="center"/>
              <w:rPr>
                <w:rFonts w:eastAsia="宋体"/>
                <w:bCs/>
              </w:rPr>
            </w:pPr>
            <w:r>
              <w:rPr>
                <w:bCs/>
                <w:lang w:val="zh-CN"/>
              </w:rPr>
              <w:t>0.025</w:t>
            </w:r>
          </w:p>
        </w:tc>
        <w:tc>
          <w:tcPr>
            <w:tcW w:w="1110" w:type="dxa"/>
            <w:vAlign w:val="center"/>
          </w:tcPr>
          <w:p>
            <w:pPr>
              <w:spacing w:after="0" w:line="240" w:lineRule="auto"/>
              <w:jc w:val="center"/>
              <w:rPr>
                <w:rFonts w:eastAsia="宋体"/>
                <w:bCs/>
              </w:rPr>
            </w:pPr>
            <w:r>
              <w:rPr>
                <w:bCs/>
                <w:lang w:val="zh-CN"/>
              </w:rPr>
              <w:t>0.035</w:t>
            </w:r>
          </w:p>
        </w:tc>
        <w:tc>
          <w:tcPr>
            <w:tcW w:w="1200" w:type="dxa"/>
            <w:vAlign w:val="center"/>
          </w:tcPr>
          <w:p>
            <w:pPr>
              <w:spacing w:after="0" w:line="240" w:lineRule="auto"/>
              <w:jc w:val="center"/>
              <w:rPr>
                <w:rFonts w:eastAsia="宋体"/>
                <w:bCs/>
              </w:rPr>
            </w:pPr>
            <w:r>
              <w:rPr>
                <w:bCs/>
                <w:lang w:val="zh-CN"/>
              </w:rPr>
              <w:t>0.034</w:t>
            </w:r>
          </w:p>
        </w:tc>
        <w:tc>
          <w:tcPr>
            <w:tcW w:w="1215" w:type="dxa"/>
            <w:vAlign w:val="center"/>
          </w:tcPr>
          <w:p>
            <w:pPr>
              <w:spacing w:after="0" w:line="240" w:lineRule="auto"/>
              <w:jc w:val="center"/>
              <w:rPr>
                <w:bCs/>
                <w:lang w:val="zh-CN"/>
              </w:rPr>
            </w:pPr>
            <w:r>
              <w:rPr>
                <w:bCs/>
                <w:lang w:val="zh-CN"/>
              </w:rPr>
              <w:t>0.087</w:t>
            </w:r>
          </w:p>
        </w:tc>
        <w:tc>
          <w:tcPr>
            <w:tcW w:w="1050" w:type="dxa"/>
            <w:vAlign w:val="center"/>
          </w:tcPr>
          <w:p>
            <w:pPr>
              <w:spacing w:after="0" w:line="240" w:lineRule="auto"/>
              <w:jc w:val="center"/>
              <w:rPr>
                <w:bCs/>
                <w:lang w:val="zh-CN"/>
              </w:rPr>
            </w:pPr>
            <w:r>
              <w:rPr>
                <w:bCs/>
                <w:lang w:val="zh-CN"/>
              </w:rPr>
              <w:t>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95%</w:t>
            </w:r>
          </w:p>
        </w:tc>
        <w:tc>
          <w:tcPr>
            <w:tcW w:w="1209" w:type="dxa"/>
            <w:vAlign w:val="center"/>
          </w:tcPr>
          <w:p>
            <w:pPr>
              <w:spacing w:after="0" w:line="240" w:lineRule="auto"/>
              <w:jc w:val="center"/>
              <w:rPr>
                <w:rFonts w:eastAsia="宋体"/>
                <w:bCs/>
              </w:rPr>
            </w:pPr>
            <w:r>
              <w:rPr>
                <w:bCs/>
                <w:lang w:val="zh-CN"/>
              </w:rPr>
              <w:t>0.113</w:t>
            </w:r>
          </w:p>
        </w:tc>
        <w:tc>
          <w:tcPr>
            <w:tcW w:w="1095" w:type="dxa"/>
            <w:vAlign w:val="center"/>
          </w:tcPr>
          <w:p>
            <w:pPr>
              <w:spacing w:after="0" w:line="240" w:lineRule="auto"/>
              <w:jc w:val="center"/>
              <w:rPr>
                <w:rFonts w:eastAsia="宋体"/>
                <w:bCs/>
              </w:rPr>
            </w:pPr>
            <w:r>
              <w:rPr>
                <w:bCs/>
                <w:lang w:val="zh-CN"/>
              </w:rPr>
              <w:t>0.114</w:t>
            </w:r>
          </w:p>
        </w:tc>
        <w:tc>
          <w:tcPr>
            <w:tcW w:w="1110" w:type="dxa"/>
            <w:vAlign w:val="center"/>
          </w:tcPr>
          <w:p>
            <w:pPr>
              <w:spacing w:after="0" w:line="240" w:lineRule="auto"/>
              <w:jc w:val="center"/>
              <w:rPr>
                <w:rFonts w:eastAsia="宋体"/>
                <w:bCs/>
              </w:rPr>
            </w:pPr>
            <w:r>
              <w:rPr>
                <w:bCs/>
                <w:lang w:val="zh-CN"/>
              </w:rPr>
              <w:t>0.182</w:t>
            </w:r>
          </w:p>
        </w:tc>
        <w:tc>
          <w:tcPr>
            <w:tcW w:w="1200" w:type="dxa"/>
            <w:vAlign w:val="center"/>
          </w:tcPr>
          <w:p>
            <w:pPr>
              <w:spacing w:after="0" w:line="240" w:lineRule="auto"/>
              <w:jc w:val="center"/>
              <w:rPr>
                <w:rFonts w:eastAsia="宋体"/>
                <w:bCs/>
              </w:rPr>
            </w:pPr>
            <w:r>
              <w:rPr>
                <w:bCs/>
                <w:lang w:val="zh-CN"/>
              </w:rPr>
              <w:t>0.177</w:t>
            </w:r>
          </w:p>
        </w:tc>
        <w:tc>
          <w:tcPr>
            <w:tcW w:w="1215" w:type="dxa"/>
            <w:vAlign w:val="center"/>
          </w:tcPr>
          <w:p>
            <w:pPr>
              <w:spacing w:after="0" w:line="240" w:lineRule="auto"/>
              <w:jc w:val="center"/>
              <w:rPr>
                <w:bCs/>
                <w:lang w:val="zh-CN"/>
              </w:rPr>
            </w:pPr>
            <w:r>
              <w:rPr>
                <w:bCs/>
                <w:lang w:val="zh-CN"/>
              </w:rPr>
              <w:t>0.837</w:t>
            </w:r>
          </w:p>
        </w:tc>
        <w:tc>
          <w:tcPr>
            <w:tcW w:w="1050" w:type="dxa"/>
            <w:vAlign w:val="center"/>
          </w:tcPr>
          <w:p>
            <w:pPr>
              <w:spacing w:after="0" w:line="240" w:lineRule="auto"/>
              <w:jc w:val="center"/>
              <w:rPr>
                <w:bCs/>
                <w:lang w:val="zh-CN"/>
              </w:rPr>
            </w:pPr>
            <w:r>
              <w:rPr>
                <w:bCs/>
                <w:lang w:val="zh-CN"/>
              </w:rPr>
              <w:t>0.566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Mean</w:t>
            </w:r>
          </w:p>
        </w:tc>
        <w:tc>
          <w:tcPr>
            <w:tcW w:w="1209" w:type="dxa"/>
            <w:vAlign w:val="center"/>
          </w:tcPr>
          <w:p>
            <w:pPr>
              <w:spacing w:after="0" w:line="240" w:lineRule="auto"/>
              <w:jc w:val="center"/>
              <w:rPr>
                <w:rFonts w:eastAsia="宋体"/>
                <w:bCs/>
              </w:rPr>
            </w:pPr>
            <w:r>
              <w:rPr>
                <w:bCs/>
                <w:lang w:val="zh-CN"/>
              </w:rPr>
              <w:t>0.040</w:t>
            </w:r>
          </w:p>
        </w:tc>
        <w:tc>
          <w:tcPr>
            <w:tcW w:w="1095" w:type="dxa"/>
            <w:vAlign w:val="center"/>
          </w:tcPr>
          <w:p>
            <w:pPr>
              <w:spacing w:after="0" w:line="240" w:lineRule="auto"/>
              <w:jc w:val="center"/>
              <w:rPr>
                <w:rFonts w:eastAsia="宋体"/>
                <w:bCs/>
              </w:rPr>
            </w:pPr>
            <w:r>
              <w:rPr>
                <w:bCs/>
                <w:lang w:val="zh-CN"/>
              </w:rPr>
              <w:t>0.040</w:t>
            </w:r>
          </w:p>
        </w:tc>
        <w:tc>
          <w:tcPr>
            <w:tcW w:w="1110" w:type="dxa"/>
            <w:vAlign w:val="center"/>
          </w:tcPr>
          <w:p>
            <w:pPr>
              <w:spacing w:after="0" w:line="240" w:lineRule="auto"/>
              <w:jc w:val="center"/>
              <w:rPr>
                <w:rFonts w:eastAsia="宋体"/>
                <w:bCs/>
              </w:rPr>
            </w:pPr>
            <w:r>
              <w:rPr>
                <w:bCs/>
                <w:lang w:val="zh-CN"/>
              </w:rPr>
              <w:t>0.059</w:t>
            </w:r>
          </w:p>
        </w:tc>
        <w:tc>
          <w:tcPr>
            <w:tcW w:w="1200" w:type="dxa"/>
            <w:vAlign w:val="center"/>
          </w:tcPr>
          <w:p>
            <w:pPr>
              <w:spacing w:after="0" w:line="240" w:lineRule="auto"/>
              <w:jc w:val="center"/>
              <w:rPr>
                <w:rFonts w:eastAsia="宋体"/>
                <w:bCs/>
              </w:rPr>
            </w:pPr>
            <w:r>
              <w:rPr>
                <w:bCs/>
                <w:lang w:val="zh-CN"/>
              </w:rPr>
              <w:t>0.057</w:t>
            </w:r>
          </w:p>
        </w:tc>
        <w:tc>
          <w:tcPr>
            <w:tcW w:w="1215" w:type="dxa"/>
            <w:vAlign w:val="center"/>
          </w:tcPr>
          <w:p>
            <w:pPr>
              <w:spacing w:after="0" w:line="240" w:lineRule="auto"/>
              <w:jc w:val="center"/>
              <w:rPr>
                <w:bCs/>
                <w:lang w:val="zh-CN"/>
              </w:rPr>
            </w:pPr>
            <w:r>
              <w:rPr>
                <w:bCs/>
                <w:lang w:val="zh-CN"/>
              </w:rPr>
              <w:t>0.213</w:t>
            </w:r>
          </w:p>
        </w:tc>
        <w:tc>
          <w:tcPr>
            <w:tcW w:w="1050" w:type="dxa"/>
            <w:vAlign w:val="center"/>
          </w:tcPr>
          <w:p>
            <w:pPr>
              <w:spacing w:after="0" w:line="240" w:lineRule="auto"/>
              <w:jc w:val="center"/>
              <w:rPr>
                <w:bCs/>
                <w:lang w:val="zh-CN"/>
              </w:rPr>
            </w:pPr>
            <w:r>
              <w:rPr>
                <w:bCs/>
                <w:lang w:val="zh-CN"/>
              </w:rPr>
              <w:t>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restart"/>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UL:   UPT CDF [Mbps]</w:t>
            </w: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w:t>
            </w:r>
          </w:p>
        </w:tc>
        <w:tc>
          <w:tcPr>
            <w:tcW w:w="1209" w:type="dxa"/>
            <w:vAlign w:val="center"/>
          </w:tcPr>
          <w:p>
            <w:pPr>
              <w:spacing w:after="0" w:line="240" w:lineRule="auto"/>
              <w:jc w:val="center"/>
              <w:rPr>
                <w:rFonts w:eastAsia="宋体"/>
                <w:bCs/>
              </w:rPr>
            </w:pPr>
            <w:r>
              <w:rPr>
                <w:bCs/>
                <w:lang w:val="zh-CN"/>
              </w:rPr>
              <w:t>22.1</w:t>
            </w:r>
          </w:p>
        </w:tc>
        <w:tc>
          <w:tcPr>
            <w:tcW w:w="1095" w:type="dxa"/>
            <w:vAlign w:val="center"/>
          </w:tcPr>
          <w:p>
            <w:pPr>
              <w:spacing w:after="0" w:line="240" w:lineRule="auto"/>
              <w:jc w:val="center"/>
              <w:rPr>
                <w:rFonts w:eastAsia="宋体"/>
                <w:bCs/>
              </w:rPr>
            </w:pPr>
            <w:r>
              <w:rPr>
                <w:bCs/>
                <w:lang w:val="zh-CN"/>
              </w:rPr>
              <w:t>22.2</w:t>
            </w:r>
          </w:p>
        </w:tc>
        <w:tc>
          <w:tcPr>
            <w:tcW w:w="1110" w:type="dxa"/>
            <w:vAlign w:val="center"/>
          </w:tcPr>
          <w:p>
            <w:pPr>
              <w:spacing w:after="0" w:line="240" w:lineRule="auto"/>
              <w:jc w:val="center"/>
              <w:rPr>
                <w:rFonts w:eastAsia="宋体"/>
                <w:bCs/>
              </w:rPr>
            </w:pPr>
            <w:r>
              <w:rPr>
                <w:bCs/>
                <w:lang w:val="zh-CN"/>
              </w:rPr>
              <w:t>20.2</w:t>
            </w:r>
          </w:p>
        </w:tc>
        <w:tc>
          <w:tcPr>
            <w:tcW w:w="1200" w:type="dxa"/>
            <w:vAlign w:val="center"/>
          </w:tcPr>
          <w:p>
            <w:pPr>
              <w:spacing w:after="0" w:line="240" w:lineRule="auto"/>
              <w:jc w:val="center"/>
              <w:rPr>
                <w:rFonts w:eastAsia="宋体"/>
                <w:bCs/>
                <w:lang w:val="en-US"/>
              </w:rPr>
            </w:pPr>
            <w:r>
              <w:rPr>
                <w:bCs/>
                <w:lang w:val="zh-CN"/>
              </w:rPr>
              <w:t>20.</w:t>
            </w:r>
            <w:r>
              <w:rPr>
                <w:bCs/>
                <w:lang w:val="en-US"/>
              </w:rPr>
              <w:t>8</w:t>
            </w:r>
          </w:p>
        </w:tc>
        <w:tc>
          <w:tcPr>
            <w:tcW w:w="1215" w:type="dxa"/>
            <w:vAlign w:val="center"/>
          </w:tcPr>
          <w:p>
            <w:pPr>
              <w:spacing w:after="0" w:line="240" w:lineRule="auto"/>
              <w:jc w:val="center"/>
              <w:rPr>
                <w:bCs/>
                <w:lang w:val="zh-CN"/>
              </w:rPr>
            </w:pPr>
            <w:r>
              <w:rPr>
                <w:bCs/>
                <w:lang w:val="zh-CN"/>
              </w:rPr>
              <w:t>14.0</w:t>
            </w:r>
          </w:p>
        </w:tc>
        <w:tc>
          <w:tcPr>
            <w:tcW w:w="1050" w:type="dxa"/>
            <w:vAlign w:val="center"/>
          </w:tcPr>
          <w:p>
            <w:pPr>
              <w:spacing w:after="0" w:line="240" w:lineRule="auto"/>
              <w:jc w:val="center"/>
              <w:rPr>
                <w:bCs/>
                <w:lang w:val="zh-CN"/>
              </w:rPr>
            </w:pPr>
            <w:r>
              <w:rPr>
                <w:bCs/>
                <w:lang w:val="zh-CN"/>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50%</w:t>
            </w:r>
          </w:p>
        </w:tc>
        <w:tc>
          <w:tcPr>
            <w:tcW w:w="1209" w:type="dxa"/>
            <w:vAlign w:val="center"/>
          </w:tcPr>
          <w:p>
            <w:pPr>
              <w:spacing w:after="0" w:line="240" w:lineRule="auto"/>
              <w:jc w:val="center"/>
              <w:rPr>
                <w:rFonts w:eastAsia="宋体"/>
                <w:bCs/>
              </w:rPr>
            </w:pPr>
            <w:r>
              <w:rPr>
                <w:bCs/>
                <w:lang w:val="zh-CN"/>
              </w:rPr>
              <w:t>162.1</w:t>
            </w:r>
          </w:p>
        </w:tc>
        <w:tc>
          <w:tcPr>
            <w:tcW w:w="1095" w:type="dxa"/>
            <w:vAlign w:val="center"/>
          </w:tcPr>
          <w:p>
            <w:pPr>
              <w:spacing w:after="0" w:line="240" w:lineRule="auto"/>
              <w:jc w:val="center"/>
              <w:rPr>
                <w:rFonts w:eastAsia="宋体"/>
                <w:bCs/>
              </w:rPr>
            </w:pPr>
            <w:r>
              <w:rPr>
                <w:bCs/>
                <w:lang w:val="zh-CN"/>
              </w:rPr>
              <w:t>162.9</w:t>
            </w:r>
          </w:p>
        </w:tc>
        <w:tc>
          <w:tcPr>
            <w:tcW w:w="1110" w:type="dxa"/>
            <w:vAlign w:val="center"/>
          </w:tcPr>
          <w:p>
            <w:pPr>
              <w:spacing w:after="0" w:line="240" w:lineRule="auto"/>
              <w:jc w:val="center"/>
              <w:rPr>
                <w:rFonts w:eastAsia="宋体"/>
                <w:bCs/>
                <w:lang w:val="en-US"/>
              </w:rPr>
            </w:pPr>
            <w:r>
              <w:rPr>
                <w:bCs/>
                <w:lang w:val="zh-CN"/>
              </w:rPr>
              <w:t>143.</w:t>
            </w:r>
            <w:r>
              <w:rPr>
                <w:bCs/>
                <w:lang w:val="en-US"/>
              </w:rPr>
              <w:t>4</w:t>
            </w:r>
          </w:p>
        </w:tc>
        <w:tc>
          <w:tcPr>
            <w:tcW w:w="1200" w:type="dxa"/>
            <w:vAlign w:val="center"/>
          </w:tcPr>
          <w:p>
            <w:pPr>
              <w:spacing w:after="0" w:line="240" w:lineRule="auto"/>
              <w:jc w:val="center"/>
              <w:rPr>
                <w:rFonts w:eastAsia="宋体"/>
                <w:bCs/>
                <w:lang w:val="en-US"/>
              </w:rPr>
            </w:pPr>
            <w:r>
              <w:rPr>
                <w:bCs/>
                <w:lang w:val="zh-CN"/>
              </w:rPr>
              <w:t>144.</w:t>
            </w:r>
            <w:r>
              <w:rPr>
                <w:bCs/>
                <w:lang w:val="en-US"/>
              </w:rPr>
              <w:t>7</w:t>
            </w:r>
          </w:p>
        </w:tc>
        <w:tc>
          <w:tcPr>
            <w:tcW w:w="1215" w:type="dxa"/>
            <w:vAlign w:val="center"/>
          </w:tcPr>
          <w:p>
            <w:pPr>
              <w:spacing w:after="0" w:line="240" w:lineRule="auto"/>
              <w:jc w:val="center"/>
              <w:rPr>
                <w:bCs/>
                <w:lang w:val="en-US"/>
              </w:rPr>
            </w:pPr>
            <w:r>
              <w:rPr>
                <w:bCs/>
                <w:lang w:val="zh-CN"/>
              </w:rPr>
              <w:t>96.</w:t>
            </w:r>
            <w:r>
              <w:rPr>
                <w:bCs/>
                <w:lang w:val="en-US"/>
              </w:rPr>
              <w:t>9</w:t>
            </w:r>
          </w:p>
        </w:tc>
        <w:tc>
          <w:tcPr>
            <w:tcW w:w="1050" w:type="dxa"/>
            <w:vAlign w:val="center"/>
          </w:tcPr>
          <w:p>
            <w:pPr>
              <w:spacing w:after="0" w:line="240" w:lineRule="auto"/>
              <w:jc w:val="center"/>
              <w:rPr>
                <w:bCs/>
                <w:lang w:val="zh-CN"/>
              </w:rPr>
            </w:pPr>
            <w:r>
              <w:rPr>
                <w:bCs/>
                <w:lang w:val="zh-CN"/>
              </w:rPr>
              <w:t>107.9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95%</w:t>
            </w:r>
          </w:p>
        </w:tc>
        <w:tc>
          <w:tcPr>
            <w:tcW w:w="1209" w:type="dxa"/>
            <w:vAlign w:val="center"/>
          </w:tcPr>
          <w:p>
            <w:pPr>
              <w:spacing w:after="0" w:line="240" w:lineRule="auto"/>
              <w:jc w:val="center"/>
              <w:rPr>
                <w:rFonts w:eastAsia="宋体"/>
                <w:bCs/>
                <w:lang w:val="en-US"/>
              </w:rPr>
            </w:pPr>
            <w:r>
              <w:rPr>
                <w:bCs/>
                <w:lang w:val="zh-CN"/>
              </w:rPr>
              <w:t>181.</w:t>
            </w:r>
            <w:r>
              <w:rPr>
                <w:bCs/>
                <w:lang w:val="en-US"/>
              </w:rPr>
              <w:t>6</w:t>
            </w:r>
          </w:p>
        </w:tc>
        <w:tc>
          <w:tcPr>
            <w:tcW w:w="1095" w:type="dxa"/>
            <w:vAlign w:val="center"/>
          </w:tcPr>
          <w:p>
            <w:pPr>
              <w:spacing w:after="0" w:line="240" w:lineRule="auto"/>
              <w:jc w:val="center"/>
              <w:rPr>
                <w:rFonts w:eastAsia="宋体"/>
                <w:bCs/>
                <w:lang w:val="en-US"/>
              </w:rPr>
            </w:pPr>
            <w:r>
              <w:rPr>
                <w:bCs/>
                <w:lang w:val="zh-CN"/>
              </w:rPr>
              <w:t>181.</w:t>
            </w:r>
            <w:r>
              <w:rPr>
                <w:bCs/>
                <w:lang w:val="en-US"/>
              </w:rPr>
              <w:t>6</w:t>
            </w:r>
          </w:p>
        </w:tc>
        <w:tc>
          <w:tcPr>
            <w:tcW w:w="1110" w:type="dxa"/>
            <w:vAlign w:val="center"/>
          </w:tcPr>
          <w:p>
            <w:pPr>
              <w:spacing w:after="0" w:line="240" w:lineRule="auto"/>
              <w:jc w:val="center"/>
              <w:rPr>
                <w:rFonts w:eastAsia="宋体"/>
                <w:bCs/>
              </w:rPr>
            </w:pPr>
            <w:r>
              <w:rPr>
                <w:bCs/>
                <w:lang w:val="zh-CN"/>
              </w:rPr>
              <w:t>163.4</w:t>
            </w:r>
          </w:p>
        </w:tc>
        <w:tc>
          <w:tcPr>
            <w:tcW w:w="1200" w:type="dxa"/>
            <w:vAlign w:val="center"/>
          </w:tcPr>
          <w:p>
            <w:pPr>
              <w:spacing w:after="0" w:line="240" w:lineRule="auto"/>
              <w:jc w:val="center"/>
              <w:rPr>
                <w:rFonts w:eastAsia="宋体"/>
                <w:bCs/>
                <w:lang w:val="en-US"/>
              </w:rPr>
            </w:pPr>
            <w:r>
              <w:rPr>
                <w:bCs/>
                <w:lang w:val="zh-CN"/>
              </w:rPr>
              <w:t>163.</w:t>
            </w:r>
            <w:r>
              <w:rPr>
                <w:bCs/>
                <w:lang w:val="en-US"/>
              </w:rPr>
              <w:t>2</w:t>
            </w:r>
          </w:p>
        </w:tc>
        <w:tc>
          <w:tcPr>
            <w:tcW w:w="1215" w:type="dxa"/>
            <w:vAlign w:val="center"/>
          </w:tcPr>
          <w:p>
            <w:pPr>
              <w:spacing w:after="0" w:line="240" w:lineRule="auto"/>
              <w:jc w:val="center"/>
              <w:rPr>
                <w:bCs/>
                <w:lang w:val="zh-CN"/>
              </w:rPr>
            </w:pPr>
            <w:r>
              <w:rPr>
                <w:bCs/>
                <w:lang w:val="zh-CN"/>
              </w:rPr>
              <w:t>139.5</w:t>
            </w:r>
          </w:p>
        </w:tc>
        <w:tc>
          <w:tcPr>
            <w:tcW w:w="1050" w:type="dxa"/>
            <w:vAlign w:val="center"/>
          </w:tcPr>
          <w:p>
            <w:pPr>
              <w:spacing w:after="0" w:line="240" w:lineRule="auto"/>
              <w:jc w:val="center"/>
              <w:rPr>
                <w:bCs/>
                <w:lang w:val="zh-CN"/>
              </w:rPr>
            </w:pPr>
            <w:r>
              <w:rPr>
                <w:bCs/>
                <w:lang w:val="zh-CN"/>
              </w:rPr>
              <w:t>143.3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Mean</w:t>
            </w:r>
          </w:p>
        </w:tc>
        <w:tc>
          <w:tcPr>
            <w:tcW w:w="1209" w:type="dxa"/>
            <w:vAlign w:val="center"/>
          </w:tcPr>
          <w:p>
            <w:pPr>
              <w:spacing w:after="0" w:line="240" w:lineRule="auto"/>
              <w:jc w:val="center"/>
              <w:rPr>
                <w:rFonts w:eastAsia="宋体"/>
                <w:bCs/>
                <w:lang w:val="en-US"/>
              </w:rPr>
            </w:pPr>
            <w:r>
              <w:rPr>
                <w:bCs/>
                <w:lang w:val="zh-CN"/>
              </w:rPr>
              <w:t>135.</w:t>
            </w:r>
            <w:r>
              <w:rPr>
                <w:bCs/>
                <w:lang w:val="en-US"/>
              </w:rPr>
              <w:t>2</w:t>
            </w:r>
          </w:p>
        </w:tc>
        <w:tc>
          <w:tcPr>
            <w:tcW w:w="1095" w:type="dxa"/>
            <w:vAlign w:val="center"/>
          </w:tcPr>
          <w:p>
            <w:pPr>
              <w:spacing w:after="0" w:line="240" w:lineRule="auto"/>
              <w:jc w:val="center"/>
              <w:rPr>
                <w:rFonts w:eastAsia="宋体"/>
                <w:bCs/>
                <w:lang w:val="en-US"/>
              </w:rPr>
            </w:pPr>
            <w:r>
              <w:rPr>
                <w:bCs/>
                <w:lang w:val="zh-CN"/>
              </w:rPr>
              <w:t>13</w:t>
            </w:r>
            <w:r>
              <w:rPr>
                <w:bCs/>
                <w:lang w:val="en-US"/>
              </w:rPr>
              <w:t>7.0</w:t>
            </w:r>
          </w:p>
        </w:tc>
        <w:tc>
          <w:tcPr>
            <w:tcW w:w="1110" w:type="dxa"/>
            <w:vAlign w:val="center"/>
          </w:tcPr>
          <w:p>
            <w:pPr>
              <w:spacing w:after="0" w:line="240" w:lineRule="auto"/>
              <w:jc w:val="center"/>
              <w:rPr>
                <w:rFonts w:eastAsia="宋体"/>
                <w:bCs/>
              </w:rPr>
            </w:pPr>
            <w:r>
              <w:rPr>
                <w:bCs/>
                <w:lang w:val="zh-CN"/>
              </w:rPr>
              <w:t>122.8</w:t>
            </w:r>
          </w:p>
        </w:tc>
        <w:tc>
          <w:tcPr>
            <w:tcW w:w="1200" w:type="dxa"/>
            <w:vAlign w:val="center"/>
          </w:tcPr>
          <w:p>
            <w:pPr>
              <w:spacing w:after="0" w:line="240" w:lineRule="auto"/>
              <w:jc w:val="center"/>
              <w:rPr>
                <w:rFonts w:eastAsia="宋体"/>
                <w:bCs/>
              </w:rPr>
            </w:pPr>
            <w:r>
              <w:rPr>
                <w:bCs/>
                <w:lang w:val="zh-CN"/>
              </w:rPr>
              <w:t>124.8</w:t>
            </w:r>
          </w:p>
        </w:tc>
        <w:tc>
          <w:tcPr>
            <w:tcW w:w="1215" w:type="dxa"/>
            <w:vAlign w:val="center"/>
          </w:tcPr>
          <w:p>
            <w:pPr>
              <w:spacing w:after="0" w:line="240" w:lineRule="auto"/>
              <w:jc w:val="center"/>
              <w:rPr>
                <w:bCs/>
                <w:lang w:val="zh-CN"/>
              </w:rPr>
            </w:pPr>
            <w:r>
              <w:rPr>
                <w:bCs/>
                <w:lang w:val="zh-CN"/>
              </w:rPr>
              <w:t>89.1</w:t>
            </w:r>
          </w:p>
        </w:tc>
        <w:tc>
          <w:tcPr>
            <w:tcW w:w="1050" w:type="dxa"/>
            <w:vAlign w:val="center"/>
          </w:tcPr>
          <w:p>
            <w:pPr>
              <w:spacing w:after="0" w:line="240" w:lineRule="auto"/>
              <w:jc w:val="center"/>
              <w:rPr>
                <w:bCs/>
                <w:lang w:val="en-US"/>
              </w:rPr>
            </w:pPr>
            <w:r>
              <w:rPr>
                <w:bCs/>
                <w:lang w:val="zh-CN"/>
              </w:rPr>
              <w:t>97.</w:t>
            </w:r>
            <w:r>
              <w:rPr>
                <w:bCs/>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restart"/>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UL:  Delay CDF [s]</w:t>
            </w: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w:t>
            </w:r>
          </w:p>
        </w:tc>
        <w:tc>
          <w:tcPr>
            <w:tcW w:w="1209" w:type="dxa"/>
            <w:vAlign w:val="center"/>
          </w:tcPr>
          <w:p>
            <w:pPr>
              <w:spacing w:after="0" w:line="240" w:lineRule="auto"/>
              <w:jc w:val="center"/>
              <w:rPr>
                <w:rFonts w:eastAsia="宋体"/>
                <w:bCs/>
              </w:rPr>
            </w:pPr>
            <w:r>
              <w:rPr>
                <w:bCs/>
                <w:lang w:val="zh-CN"/>
              </w:rPr>
              <w:t>0.021</w:t>
            </w:r>
          </w:p>
        </w:tc>
        <w:tc>
          <w:tcPr>
            <w:tcW w:w="1095" w:type="dxa"/>
            <w:vAlign w:val="center"/>
          </w:tcPr>
          <w:p>
            <w:pPr>
              <w:spacing w:after="0" w:line="240" w:lineRule="auto"/>
              <w:jc w:val="center"/>
              <w:rPr>
                <w:rFonts w:eastAsia="宋体"/>
                <w:bCs/>
              </w:rPr>
            </w:pPr>
            <w:r>
              <w:rPr>
                <w:bCs/>
                <w:lang w:val="zh-CN"/>
              </w:rPr>
              <w:t>0.021</w:t>
            </w:r>
          </w:p>
        </w:tc>
        <w:tc>
          <w:tcPr>
            <w:tcW w:w="1110" w:type="dxa"/>
            <w:vAlign w:val="center"/>
          </w:tcPr>
          <w:p>
            <w:pPr>
              <w:spacing w:after="0" w:line="240" w:lineRule="auto"/>
              <w:jc w:val="center"/>
              <w:rPr>
                <w:rFonts w:eastAsia="宋体"/>
                <w:bCs/>
              </w:rPr>
            </w:pPr>
            <w:r>
              <w:rPr>
                <w:bCs/>
                <w:lang w:val="zh-CN"/>
              </w:rPr>
              <w:t>0.021</w:t>
            </w:r>
          </w:p>
        </w:tc>
        <w:tc>
          <w:tcPr>
            <w:tcW w:w="1200" w:type="dxa"/>
            <w:vAlign w:val="center"/>
          </w:tcPr>
          <w:p>
            <w:pPr>
              <w:spacing w:after="0" w:line="240" w:lineRule="auto"/>
              <w:jc w:val="center"/>
              <w:rPr>
                <w:rFonts w:eastAsia="宋体"/>
                <w:bCs/>
              </w:rPr>
            </w:pPr>
            <w:r>
              <w:rPr>
                <w:bCs/>
                <w:lang w:val="zh-CN"/>
              </w:rPr>
              <w:t>0.021</w:t>
            </w:r>
          </w:p>
        </w:tc>
        <w:tc>
          <w:tcPr>
            <w:tcW w:w="1215" w:type="dxa"/>
            <w:vAlign w:val="center"/>
          </w:tcPr>
          <w:p>
            <w:pPr>
              <w:spacing w:after="0" w:line="240" w:lineRule="auto"/>
              <w:jc w:val="center"/>
              <w:rPr>
                <w:bCs/>
                <w:lang w:val="zh-CN"/>
              </w:rPr>
            </w:pPr>
            <w:r>
              <w:rPr>
                <w:bCs/>
                <w:lang w:val="zh-CN"/>
              </w:rPr>
              <w:t>0.021</w:t>
            </w:r>
          </w:p>
        </w:tc>
        <w:tc>
          <w:tcPr>
            <w:tcW w:w="1050" w:type="dxa"/>
            <w:vAlign w:val="center"/>
          </w:tcPr>
          <w:p>
            <w:pPr>
              <w:spacing w:after="0" w:line="240" w:lineRule="auto"/>
              <w:jc w:val="center"/>
              <w:rPr>
                <w:bCs/>
                <w:lang w:val="zh-CN"/>
              </w:rPr>
            </w:pPr>
            <w:r>
              <w:rPr>
                <w:bCs/>
                <w:lang w:val="zh-CN"/>
              </w:rPr>
              <w:t>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50%</w:t>
            </w:r>
          </w:p>
        </w:tc>
        <w:tc>
          <w:tcPr>
            <w:tcW w:w="1209" w:type="dxa"/>
            <w:vAlign w:val="center"/>
          </w:tcPr>
          <w:p>
            <w:pPr>
              <w:spacing w:after="0" w:line="240" w:lineRule="auto"/>
              <w:jc w:val="center"/>
              <w:rPr>
                <w:rFonts w:eastAsia="宋体"/>
                <w:bCs/>
              </w:rPr>
            </w:pPr>
            <w:r>
              <w:rPr>
                <w:bCs/>
                <w:lang w:val="zh-CN"/>
              </w:rPr>
              <w:t>0.025</w:t>
            </w:r>
          </w:p>
        </w:tc>
        <w:tc>
          <w:tcPr>
            <w:tcW w:w="1095" w:type="dxa"/>
            <w:vAlign w:val="center"/>
          </w:tcPr>
          <w:p>
            <w:pPr>
              <w:spacing w:after="0" w:line="240" w:lineRule="auto"/>
              <w:jc w:val="center"/>
              <w:rPr>
                <w:rFonts w:eastAsia="宋体"/>
                <w:bCs/>
              </w:rPr>
            </w:pPr>
            <w:r>
              <w:rPr>
                <w:bCs/>
                <w:lang w:val="zh-CN"/>
              </w:rPr>
              <w:t>0.025</w:t>
            </w:r>
          </w:p>
        </w:tc>
        <w:tc>
          <w:tcPr>
            <w:tcW w:w="1110" w:type="dxa"/>
            <w:vAlign w:val="center"/>
          </w:tcPr>
          <w:p>
            <w:pPr>
              <w:spacing w:after="0" w:line="240" w:lineRule="auto"/>
              <w:jc w:val="center"/>
              <w:rPr>
                <w:rFonts w:eastAsia="宋体"/>
                <w:bCs/>
              </w:rPr>
            </w:pPr>
            <w:r>
              <w:rPr>
                <w:bCs/>
                <w:lang w:val="zh-CN"/>
              </w:rPr>
              <w:t>0.030</w:t>
            </w:r>
          </w:p>
        </w:tc>
        <w:tc>
          <w:tcPr>
            <w:tcW w:w="1200" w:type="dxa"/>
            <w:vAlign w:val="center"/>
          </w:tcPr>
          <w:p>
            <w:pPr>
              <w:spacing w:after="0" w:line="240" w:lineRule="auto"/>
              <w:jc w:val="center"/>
              <w:rPr>
                <w:rFonts w:eastAsia="宋体"/>
                <w:bCs/>
              </w:rPr>
            </w:pPr>
            <w:r>
              <w:rPr>
                <w:bCs/>
                <w:lang w:val="zh-CN"/>
              </w:rPr>
              <w:t>0.029</w:t>
            </w:r>
          </w:p>
        </w:tc>
        <w:tc>
          <w:tcPr>
            <w:tcW w:w="1215" w:type="dxa"/>
            <w:vAlign w:val="center"/>
          </w:tcPr>
          <w:p>
            <w:pPr>
              <w:spacing w:after="0" w:line="240" w:lineRule="auto"/>
              <w:jc w:val="center"/>
              <w:rPr>
                <w:bCs/>
                <w:lang w:val="zh-CN"/>
              </w:rPr>
            </w:pPr>
            <w:r>
              <w:rPr>
                <w:bCs/>
                <w:lang w:val="zh-CN"/>
              </w:rPr>
              <w:t>0.051</w:t>
            </w:r>
          </w:p>
        </w:tc>
        <w:tc>
          <w:tcPr>
            <w:tcW w:w="1050" w:type="dxa"/>
            <w:vAlign w:val="center"/>
          </w:tcPr>
          <w:p>
            <w:pPr>
              <w:spacing w:after="0" w:line="240" w:lineRule="auto"/>
              <w:jc w:val="center"/>
              <w:rPr>
                <w:bCs/>
                <w:lang w:val="zh-CN"/>
              </w:rPr>
            </w:pPr>
            <w:r>
              <w:rPr>
                <w:bCs/>
                <w:lang w:val="zh-CN"/>
              </w:rPr>
              <w:t>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95%</w:t>
            </w:r>
          </w:p>
        </w:tc>
        <w:tc>
          <w:tcPr>
            <w:tcW w:w="1209" w:type="dxa"/>
            <w:vAlign w:val="center"/>
          </w:tcPr>
          <w:p>
            <w:pPr>
              <w:spacing w:after="0" w:line="240" w:lineRule="auto"/>
              <w:jc w:val="center"/>
              <w:rPr>
                <w:rFonts w:eastAsia="宋体"/>
                <w:bCs/>
              </w:rPr>
            </w:pPr>
            <w:r>
              <w:rPr>
                <w:bCs/>
                <w:lang w:val="zh-CN"/>
              </w:rPr>
              <w:t>0.180</w:t>
            </w:r>
          </w:p>
        </w:tc>
        <w:tc>
          <w:tcPr>
            <w:tcW w:w="1095" w:type="dxa"/>
            <w:vAlign w:val="center"/>
          </w:tcPr>
          <w:p>
            <w:pPr>
              <w:spacing w:after="0" w:line="240" w:lineRule="auto"/>
              <w:jc w:val="center"/>
              <w:rPr>
                <w:rFonts w:eastAsia="宋体"/>
                <w:bCs/>
              </w:rPr>
            </w:pPr>
            <w:r>
              <w:rPr>
                <w:bCs/>
                <w:lang w:val="zh-CN"/>
              </w:rPr>
              <w:t>0.176</w:t>
            </w:r>
          </w:p>
        </w:tc>
        <w:tc>
          <w:tcPr>
            <w:tcW w:w="1110" w:type="dxa"/>
            <w:vAlign w:val="center"/>
          </w:tcPr>
          <w:p>
            <w:pPr>
              <w:spacing w:after="0" w:line="240" w:lineRule="auto"/>
              <w:jc w:val="center"/>
              <w:rPr>
                <w:rFonts w:eastAsia="宋体"/>
                <w:bCs/>
              </w:rPr>
            </w:pPr>
            <w:r>
              <w:rPr>
                <w:bCs/>
                <w:lang w:val="zh-CN"/>
              </w:rPr>
              <w:t>0.193</w:t>
            </w:r>
          </w:p>
        </w:tc>
        <w:tc>
          <w:tcPr>
            <w:tcW w:w="1200" w:type="dxa"/>
            <w:vAlign w:val="center"/>
          </w:tcPr>
          <w:p>
            <w:pPr>
              <w:spacing w:after="0" w:line="240" w:lineRule="auto"/>
              <w:jc w:val="center"/>
              <w:rPr>
                <w:rFonts w:eastAsia="宋体"/>
                <w:bCs/>
              </w:rPr>
            </w:pPr>
            <w:r>
              <w:rPr>
                <w:bCs/>
                <w:lang w:val="zh-CN"/>
              </w:rPr>
              <w:t>0.187</w:t>
            </w:r>
          </w:p>
        </w:tc>
        <w:tc>
          <w:tcPr>
            <w:tcW w:w="1215" w:type="dxa"/>
            <w:vAlign w:val="center"/>
          </w:tcPr>
          <w:p>
            <w:pPr>
              <w:spacing w:after="0" w:line="240" w:lineRule="auto"/>
              <w:jc w:val="center"/>
              <w:rPr>
                <w:bCs/>
                <w:lang w:val="zh-CN"/>
              </w:rPr>
            </w:pPr>
            <w:r>
              <w:rPr>
                <w:bCs/>
                <w:lang w:val="zh-CN"/>
              </w:rPr>
              <w:t>0.395</w:t>
            </w:r>
          </w:p>
        </w:tc>
        <w:tc>
          <w:tcPr>
            <w:tcW w:w="1050" w:type="dxa"/>
            <w:vAlign w:val="center"/>
          </w:tcPr>
          <w:p>
            <w:pPr>
              <w:spacing w:after="0" w:line="240" w:lineRule="auto"/>
              <w:jc w:val="center"/>
              <w:rPr>
                <w:bCs/>
                <w:lang w:val="zh-CN"/>
              </w:rPr>
            </w:pPr>
            <w:r>
              <w:rPr>
                <w:bCs/>
                <w:lang w:val="zh-CN"/>
              </w:rPr>
              <w:t>0.342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950"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Mean</w:t>
            </w:r>
          </w:p>
        </w:tc>
        <w:tc>
          <w:tcPr>
            <w:tcW w:w="1209" w:type="dxa"/>
            <w:vAlign w:val="center"/>
          </w:tcPr>
          <w:p>
            <w:pPr>
              <w:spacing w:after="0" w:line="240" w:lineRule="auto"/>
              <w:jc w:val="center"/>
              <w:rPr>
                <w:rFonts w:eastAsia="宋体"/>
                <w:bCs/>
              </w:rPr>
            </w:pPr>
            <w:r>
              <w:rPr>
                <w:bCs/>
                <w:lang w:val="zh-CN"/>
              </w:rPr>
              <w:t>0.050</w:t>
            </w:r>
          </w:p>
        </w:tc>
        <w:tc>
          <w:tcPr>
            <w:tcW w:w="1095" w:type="dxa"/>
            <w:vAlign w:val="center"/>
          </w:tcPr>
          <w:p>
            <w:pPr>
              <w:spacing w:after="0" w:line="240" w:lineRule="auto"/>
              <w:jc w:val="center"/>
              <w:rPr>
                <w:rFonts w:eastAsia="宋体"/>
                <w:bCs/>
              </w:rPr>
            </w:pPr>
            <w:r>
              <w:rPr>
                <w:bCs/>
                <w:lang w:val="zh-CN"/>
              </w:rPr>
              <w:t>0.049</w:t>
            </w:r>
          </w:p>
        </w:tc>
        <w:tc>
          <w:tcPr>
            <w:tcW w:w="1110" w:type="dxa"/>
            <w:vAlign w:val="center"/>
          </w:tcPr>
          <w:p>
            <w:pPr>
              <w:spacing w:after="0" w:line="240" w:lineRule="auto"/>
              <w:jc w:val="center"/>
              <w:rPr>
                <w:rFonts w:eastAsia="宋体"/>
                <w:bCs/>
              </w:rPr>
            </w:pPr>
            <w:r>
              <w:rPr>
                <w:bCs/>
                <w:lang w:val="zh-CN"/>
              </w:rPr>
              <w:t>0.054</w:t>
            </w:r>
          </w:p>
        </w:tc>
        <w:tc>
          <w:tcPr>
            <w:tcW w:w="1200" w:type="dxa"/>
            <w:vAlign w:val="center"/>
          </w:tcPr>
          <w:p>
            <w:pPr>
              <w:spacing w:after="0" w:line="240" w:lineRule="auto"/>
              <w:jc w:val="center"/>
              <w:rPr>
                <w:rFonts w:eastAsia="宋体"/>
                <w:bCs/>
              </w:rPr>
            </w:pPr>
            <w:r>
              <w:rPr>
                <w:bCs/>
                <w:lang w:val="zh-CN"/>
              </w:rPr>
              <w:t>0.053</w:t>
            </w:r>
          </w:p>
        </w:tc>
        <w:tc>
          <w:tcPr>
            <w:tcW w:w="1215" w:type="dxa"/>
            <w:vAlign w:val="center"/>
          </w:tcPr>
          <w:p>
            <w:pPr>
              <w:spacing w:after="0" w:line="240" w:lineRule="auto"/>
              <w:jc w:val="center"/>
              <w:rPr>
                <w:bCs/>
                <w:lang w:val="zh-CN"/>
              </w:rPr>
            </w:pPr>
            <w:r>
              <w:rPr>
                <w:bCs/>
                <w:lang w:val="zh-CN"/>
              </w:rPr>
              <w:t>0.110</w:t>
            </w:r>
          </w:p>
        </w:tc>
        <w:tc>
          <w:tcPr>
            <w:tcW w:w="1050" w:type="dxa"/>
            <w:vAlign w:val="center"/>
          </w:tcPr>
          <w:p>
            <w:pPr>
              <w:spacing w:after="0" w:line="240" w:lineRule="auto"/>
              <w:jc w:val="center"/>
              <w:rPr>
                <w:bCs/>
                <w:lang w:val="zh-CN"/>
              </w:rPr>
            </w:pPr>
            <w:r>
              <w:rPr>
                <w:bCs/>
                <w:lang w:val="zh-CN"/>
              </w:rPr>
              <w:t>0.093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473" w:type="dxa"/>
            <w:gridSpan w:val="2"/>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 xml:space="preserve">BO </w:t>
            </w:r>
            <w:r>
              <w:rPr>
                <w:bCs/>
                <w:sz w:val="20"/>
                <w:szCs w:val="20"/>
              </w:rPr>
              <w:t>(DL)(%)</w:t>
            </w:r>
          </w:p>
        </w:tc>
        <w:tc>
          <w:tcPr>
            <w:tcW w:w="1209" w:type="dxa"/>
            <w:vAlign w:val="center"/>
          </w:tcPr>
          <w:p>
            <w:pPr>
              <w:spacing w:after="0" w:line="240" w:lineRule="auto"/>
              <w:jc w:val="center"/>
              <w:rPr>
                <w:bCs/>
              </w:rPr>
            </w:pPr>
            <w:r>
              <w:rPr>
                <w:bCs/>
                <w:lang w:val="zh-CN"/>
              </w:rPr>
              <w:t>8.952</w:t>
            </w:r>
          </w:p>
        </w:tc>
        <w:tc>
          <w:tcPr>
            <w:tcW w:w="1095" w:type="dxa"/>
            <w:vAlign w:val="center"/>
          </w:tcPr>
          <w:p>
            <w:pPr>
              <w:spacing w:after="0" w:line="240" w:lineRule="auto"/>
              <w:jc w:val="center"/>
              <w:rPr>
                <w:rFonts w:eastAsia="宋体"/>
                <w:bCs/>
              </w:rPr>
            </w:pPr>
            <w:r>
              <w:rPr>
                <w:bCs/>
                <w:lang w:val="zh-CN"/>
              </w:rPr>
              <w:t>9.024</w:t>
            </w:r>
          </w:p>
        </w:tc>
        <w:tc>
          <w:tcPr>
            <w:tcW w:w="1110" w:type="dxa"/>
            <w:vAlign w:val="center"/>
          </w:tcPr>
          <w:p>
            <w:pPr>
              <w:spacing w:after="0" w:line="240" w:lineRule="auto"/>
              <w:jc w:val="center"/>
              <w:rPr>
                <w:rFonts w:eastAsia="宋体"/>
                <w:bCs/>
                <w:lang w:val="en-US" w:eastAsia="zh-CN"/>
              </w:rPr>
            </w:pPr>
            <w:r>
              <w:rPr>
                <w:bCs/>
                <w:lang w:val="zh-CN"/>
              </w:rPr>
              <w:t>17.128</w:t>
            </w:r>
          </w:p>
        </w:tc>
        <w:tc>
          <w:tcPr>
            <w:tcW w:w="1200" w:type="dxa"/>
            <w:vAlign w:val="center"/>
          </w:tcPr>
          <w:p>
            <w:pPr>
              <w:spacing w:after="0" w:line="240" w:lineRule="auto"/>
              <w:jc w:val="center"/>
              <w:rPr>
                <w:rFonts w:eastAsia="宋体"/>
                <w:bCs/>
              </w:rPr>
            </w:pPr>
            <w:r>
              <w:rPr>
                <w:bCs/>
                <w:lang w:val="zh-CN"/>
              </w:rPr>
              <w:t>17.674</w:t>
            </w:r>
          </w:p>
        </w:tc>
        <w:tc>
          <w:tcPr>
            <w:tcW w:w="1215" w:type="dxa"/>
            <w:vAlign w:val="center"/>
          </w:tcPr>
          <w:p>
            <w:pPr>
              <w:spacing w:after="0" w:line="240" w:lineRule="auto"/>
              <w:jc w:val="center"/>
              <w:rPr>
                <w:bCs/>
                <w:lang w:val="zh-CN"/>
              </w:rPr>
            </w:pPr>
            <w:r>
              <w:rPr>
                <w:bCs/>
                <w:lang w:val="zh-CN"/>
              </w:rPr>
              <w:t>38.534</w:t>
            </w:r>
          </w:p>
        </w:tc>
        <w:tc>
          <w:tcPr>
            <w:tcW w:w="1050" w:type="dxa"/>
            <w:vAlign w:val="center"/>
          </w:tcPr>
          <w:p>
            <w:pPr>
              <w:spacing w:after="0" w:line="240" w:lineRule="auto"/>
              <w:jc w:val="center"/>
              <w:rPr>
                <w:bCs/>
                <w:lang w:val="zh-CN"/>
              </w:rPr>
            </w:pPr>
            <w:r>
              <w:rPr>
                <w:bCs/>
                <w:lang w:val="zh-CN"/>
              </w:rPr>
              <w:t>38.626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473" w:type="dxa"/>
            <w:gridSpan w:val="2"/>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 xml:space="preserve">BO </w:t>
            </w:r>
            <w:r>
              <w:rPr>
                <w:bCs/>
                <w:sz w:val="20"/>
                <w:szCs w:val="20"/>
              </w:rPr>
              <w:t>(UL)(%)</w:t>
            </w:r>
          </w:p>
        </w:tc>
        <w:tc>
          <w:tcPr>
            <w:tcW w:w="1209" w:type="dxa"/>
            <w:vAlign w:val="center"/>
          </w:tcPr>
          <w:p>
            <w:pPr>
              <w:spacing w:after="0" w:line="240" w:lineRule="auto"/>
              <w:jc w:val="center"/>
              <w:rPr>
                <w:bCs/>
              </w:rPr>
            </w:pPr>
            <w:r>
              <w:rPr>
                <w:bCs/>
                <w:lang w:val="zh-CN"/>
              </w:rPr>
              <w:t>8.450</w:t>
            </w:r>
          </w:p>
        </w:tc>
        <w:tc>
          <w:tcPr>
            <w:tcW w:w="1095" w:type="dxa"/>
            <w:vAlign w:val="center"/>
          </w:tcPr>
          <w:p>
            <w:pPr>
              <w:spacing w:after="0" w:line="240" w:lineRule="auto"/>
              <w:jc w:val="center"/>
              <w:rPr>
                <w:rFonts w:eastAsia="宋体"/>
                <w:bCs/>
              </w:rPr>
            </w:pPr>
            <w:r>
              <w:rPr>
                <w:bCs/>
                <w:lang w:val="zh-CN"/>
              </w:rPr>
              <w:t>8.321</w:t>
            </w:r>
          </w:p>
        </w:tc>
        <w:tc>
          <w:tcPr>
            <w:tcW w:w="1110" w:type="dxa"/>
            <w:vAlign w:val="center"/>
          </w:tcPr>
          <w:p>
            <w:pPr>
              <w:spacing w:after="0" w:line="240" w:lineRule="auto"/>
              <w:jc w:val="center"/>
              <w:rPr>
                <w:rFonts w:eastAsia="宋体"/>
                <w:bCs/>
              </w:rPr>
            </w:pPr>
            <w:r>
              <w:rPr>
                <w:bCs/>
                <w:lang w:val="zh-CN"/>
              </w:rPr>
              <w:t>14.673</w:t>
            </w:r>
          </w:p>
        </w:tc>
        <w:tc>
          <w:tcPr>
            <w:tcW w:w="1200" w:type="dxa"/>
            <w:vAlign w:val="center"/>
          </w:tcPr>
          <w:p>
            <w:pPr>
              <w:spacing w:after="0" w:line="240" w:lineRule="auto"/>
              <w:jc w:val="center"/>
              <w:rPr>
                <w:rFonts w:eastAsia="宋体"/>
                <w:bCs/>
              </w:rPr>
            </w:pPr>
            <w:r>
              <w:rPr>
                <w:bCs/>
                <w:lang w:val="zh-CN"/>
              </w:rPr>
              <w:t>14.372</w:t>
            </w:r>
          </w:p>
        </w:tc>
        <w:tc>
          <w:tcPr>
            <w:tcW w:w="1215" w:type="dxa"/>
            <w:vAlign w:val="center"/>
          </w:tcPr>
          <w:p>
            <w:pPr>
              <w:spacing w:after="0" w:line="240" w:lineRule="auto"/>
              <w:jc w:val="center"/>
              <w:rPr>
                <w:bCs/>
                <w:lang w:val="zh-CN"/>
              </w:rPr>
            </w:pPr>
            <w:r>
              <w:rPr>
                <w:bCs/>
                <w:lang w:val="zh-CN"/>
              </w:rPr>
              <w:t>30.817</w:t>
            </w:r>
          </w:p>
        </w:tc>
        <w:tc>
          <w:tcPr>
            <w:tcW w:w="1050" w:type="dxa"/>
            <w:vAlign w:val="center"/>
          </w:tcPr>
          <w:p>
            <w:pPr>
              <w:spacing w:after="0" w:line="240" w:lineRule="auto"/>
              <w:jc w:val="center"/>
              <w:rPr>
                <w:bCs/>
                <w:lang w:val="zh-CN"/>
              </w:rPr>
            </w:pPr>
            <w:r>
              <w:rPr>
                <w:bCs/>
                <w:lang w:val="zh-CN"/>
              </w:rPr>
              <w:t>27.905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29" w:hRule="atLeast"/>
          <w:jc w:val="center"/>
        </w:trPr>
        <w:tc>
          <w:tcPr>
            <w:tcW w:w="2473" w:type="dxa"/>
            <w:gridSpan w:val="2"/>
            <w:vAlign w:val="center"/>
          </w:tcPr>
          <w:p>
            <w:pPr>
              <w:spacing w:after="0" w:line="240" w:lineRule="auto"/>
              <w:jc w:val="center"/>
              <w:rPr>
                <w:rFonts w:eastAsia="宋体"/>
                <w:bCs/>
              </w:rPr>
            </w:pPr>
            <w:r>
              <w:t>𝜆</w:t>
            </w:r>
          </w:p>
        </w:tc>
        <w:tc>
          <w:tcPr>
            <w:tcW w:w="2304" w:type="dxa"/>
            <w:gridSpan w:val="2"/>
            <w:vAlign w:val="center"/>
          </w:tcPr>
          <w:p>
            <w:pPr>
              <w:spacing w:after="0" w:line="240" w:lineRule="auto"/>
              <w:jc w:val="center"/>
              <w:rPr>
                <w:bCs/>
                <w:lang w:val="en-US" w:eastAsia="zh-CN"/>
              </w:rPr>
            </w:pPr>
            <w:r>
              <w:rPr>
                <w:bCs/>
                <w:lang w:val="en-US" w:eastAsia="zh-CN"/>
              </w:rPr>
              <w:t>DL: 0.3 files/s</w:t>
            </w:r>
          </w:p>
          <w:p>
            <w:pPr>
              <w:spacing w:after="0" w:line="240" w:lineRule="auto"/>
              <w:jc w:val="center"/>
              <w:rPr>
                <w:bCs/>
                <w:lang w:val="en-US" w:eastAsia="zh-CN"/>
              </w:rPr>
            </w:pPr>
            <w:r>
              <w:rPr>
                <w:bCs/>
                <w:lang w:val="en-US" w:eastAsia="zh-CN"/>
              </w:rPr>
              <w:t>UL: 0.3 files/s</w:t>
            </w:r>
          </w:p>
        </w:tc>
        <w:tc>
          <w:tcPr>
            <w:tcW w:w="2310" w:type="dxa"/>
            <w:gridSpan w:val="2"/>
            <w:vAlign w:val="center"/>
          </w:tcPr>
          <w:p>
            <w:pPr>
              <w:spacing w:after="0" w:line="240" w:lineRule="auto"/>
              <w:jc w:val="center"/>
              <w:rPr>
                <w:bCs/>
                <w:lang w:val="en-US" w:eastAsia="zh-CN"/>
              </w:rPr>
            </w:pPr>
            <w:r>
              <w:rPr>
                <w:bCs/>
                <w:lang w:val="en-US" w:eastAsia="zh-CN"/>
              </w:rPr>
              <w:t>DL: 0.5 files/s</w:t>
            </w:r>
          </w:p>
          <w:p>
            <w:pPr>
              <w:spacing w:after="0" w:line="240" w:lineRule="auto"/>
              <w:jc w:val="center"/>
              <w:rPr>
                <w:bCs/>
                <w:lang w:val="en-US" w:eastAsia="zh-CN"/>
              </w:rPr>
            </w:pPr>
            <w:r>
              <w:rPr>
                <w:bCs/>
                <w:lang w:val="en-US" w:eastAsia="zh-CN"/>
              </w:rPr>
              <w:t>UL: 0.5 files/s</w:t>
            </w:r>
          </w:p>
        </w:tc>
        <w:tc>
          <w:tcPr>
            <w:tcW w:w="2265" w:type="dxa"/>
            <w:gridSpan w:val="2"/>
            <w:vAlign w:val="center"/>
          </w:tcPr>
          <w:p>
            <w:pPr>
              <w:spacing w:after="0" w:line="240" w:lineRule="auto"/>
              <w:jc w:val="center"/>
              <w:rPr>
                <w:bCs/>
                <w:lang w:val="en-US" w:eastAsia="zh-CN"/>
              </w:rPr>
            </w:pPr>
            <w:r>
              <w:rPr>
                <w:bCs/>
                <w:lang w:val="en-US" w:eastAsia="zh-CN"/>
              </w:rPr>
              <w:t>DL: 0.8 files/s</w:t>
            </w:r>
          </w:p>
          <w:p>
            <w:pPr>
              <w:spacing w:after="0" w:line="240" w:lineRule="auto"/>
              <w:jc w:val="center"/>
              <w:rPr>
                <w:bCs/>
                <w:lang w:val="en-US" w:eastAsia="zh-CN"/>
              </w:rPr>
            </w:pPr>
            <w:r>
              <w:rPr>
                <w:bCs/>
                <w:lang w:val="en-US" w:eastAsia="zh-CN"/>
              </w:rPr>
              <w:t>UL: 0.8 files/s</w:t>
            </w:r>
          </w:p>
        </w:tc>
      </w:tr>
      <w:bookmarkEnd w:id="6"/>
    </w:tbl>
    <w:p>
      <w:pPr>
        <w:tabs>
          <w:tab w:val="left" w:pos="450"/>
          <w:tab w:val="left" w:pos="720"/>
        </w:tabs>
        <w:spacing w:before="120" w:after="120" w:line="240" w:lineRule="auto"/>
        <w:jc w:val="center"/>
        <w:rPr>
          <w:rFonts w:eastAsiaTheme="minorEastAsia"/>
          <w:lang w:val="en-US" w:eastAsia="zh-CN"/>
        </w:rPr>
      </w:pPr>
    </w:p>
    <w:p>
      <w:pPr>
        <w:tabs>
          <w:tab w:val="left" w:pos="450"/>
          <w:tab w:val="left" w:pos="720"/>
        </w:tabs>
        <w:spacing w:before="137" w:beforeLines="50" w:after="137" w:afterLines="50" w:line="240" w:lineRule="auto"/>
        <w:jc w:val="both"/>
        <w:rPr>
          <w:lang w:val="en-US" w:eastAsia="zh-CN"/>
        </w:rPr>
      </w:pPr>
      <w:r>
        <w:rPr>
          <w:rFonts w:hint="eastAsia"/>
          <w:lang w:val="en-US" w:eastAsia="zh-CN"/>
        </w:rPr>
        <w:t>Simulation results show that multiplexing/Frequency reuse with blank pattern schemes can achieve performance improvement compared to no- multiplexing/Frequency reuse and the gain increases with the increase of traffic load.</w:t>
      </w:r>
    </w:p>
    <w:p>
      <w:pPr>
        <w:spacing w:before="137" w:beforeLines="50" w:after="137" w:afterLines="50" w:line="240" w:lineRule="auto"/>
        <w:jc w:val="both"/>
        <w:rPr>
          <w:lang w:val="en-US" w:eastAsia="zh-CN"/>
        </w:rPr>
      </w:pPr>
      <w:r>
        <w:rPr>
          <w:rFonts w:hint="eastAsia"/>
          <w:b/>
          <w:bCs/>
          <w:lang w:val="en-US" w:eastAsia="zh-CN"/>
        </w:rPr>
        <w:t>Proposal 16:</w:t>
      </w:r>
      <w:r>
        <w:rPr>
          <w:rFonts w:hint="eastAsia"/>
          <w:i/>
          <w:iCs/>
          <w:lang w:val="en-US" w:eastAsia="zh-CN"/>
        </w:rPr>
        <w:t xml:space="preserve"> Multiplexing/Frequency reuse with blank pattern schemes can achieve performance improvement compared to no-multiplexing/Frequency reuse the gain increases with the increase of traffic load.</w:t>
      </w:r>
      <w:r>
        <w:rPr>
          <w:rFonts w:hint="eastAsia" w:ascii="Times New Roman" w:hAnsi="Times New Roman"/>
          <w:b/>
          <w:bCs w:val="0"/>
          <w:sz w:val="24"/>
          <w:szCs w:val="24"/>
          <w:lang w:val="en-US" w:eastAsia="zh-CN"/>
        </w:rPr>
        <w:t xml:space="preserve">  </w:t>
      </w:r>
      <w:r>
        <w:rPr>
          <w:rFonts w:hint="eastAsia"/>
          <w:i/>
          <w:iCs/>
          <w:lang w:val="en-US" w:eastAsia="zh-CN"/>
        </w:rPr>
        <w:t xml:space="preserve"> </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Receiver assisted LBT</w:t>
      </w:r>
    </w:p>
    <w:p>
      <w:pPr>
        <w:spacing w:before="137" w:beforeLines="50" w:after="137" w:afterLines="50" w:line="240" w:lineRule="auto"/>
        <w:jc w:val="both"/>
        <w:rPr>
          <w:lang w:val="en-US" w:eastAsia="zh-CN"/>
        </w:rPr>
      </w:pPr>
      <w:r>
        <w:rPr>
          <w:lang w:val="en-US" w:eastAsia="zh-CN"/>
        </w:rPr>
        <w:t>R</w:t>
      </w:r>
      <w:r>
        <w:rPr>
          <w:rFonts w:hint="eastAsia"/>
          <w:lang w:val="en-US" w:eastAsia="zh-CN"/>
        </w:rPr>
        <w:t xml:space="preserve">eceiver assisted LBT has been supported to enhance </w:t>
      </w:r>
      <w:r>
        <w:rPr>
          <w:bCs/>
          <w:lang w:val="en-US"/>
        </w:rPr>
        <w:t>performance beyond the baseline LBT mechanism</w:t>
      </w:r>
      <w:r>
        <w:rPr>
          <w:rFonts w:hint="eastAsia" w:eastAsia="宋体"/>
          <w:bCs/>
          <w:lang w:val="en-US" w:eastAsia="zh-CN"/>
        </w:rPr>
        <w:t xml:space="preserve"> in RAN1 #92bis meeting. Based on this, we need to </w:t>
      </w:r>
      <w:r>
        <w:rPr>
          <w:rFonts w:eastAsia="宋体"/>
          <w:bCs/>
          <w:lang w:val="en-US" w:eastAsia="zh-CN"/>
        </w:rPr>
        <w:t xml:space="preserve">further </w:t>
      </w:r>
      <w:r>
        <w:rPr>
          <w:rFonts w:hint="eastAsia" w:eastAsia="宋体"/>
          <w:bCs/>
          <w:lang w:val="en-US" w:eastAsia="zh-CN"/>
        </w:rPr>
        <w:t>study the hidden node problem</w:t>
      </w:r>
      <w:r>
        <w:rPr>
          <w:rFonts w:eastAsia="宋体"/>
          <w:bCs/>
          <w:lang w:val="en-US" w:eastAsia="zh-CN"/>
        </w:rPr>
        <w:t>s</w:t>
      </w:r>
      <w:r>
        <w:rPr>
          <w:rFonts w:hint="eastAsia" w:eastAsia="宋体"/>
          <w:bCs/>
          <w:lang w:val="en-US" w:eastAsia="zh-CN"/>
        </w:rPr>
        <w:t xml:space="preserve"> in the </w:t>
      </w:r>
      <w:r>
        <w:rPr>
          <w:rFonts w:hint="eastAsia"/>
          <w:lang w:val="en-US" w:eastAsia="zh-CN"/>
        </w:rPr>
        <w:t>directional</w:t>
      </w:r>
      <w:r>
        <w:rPr>
          <w:rFonts w:hint="eastAsia" w:eastAsia="宋体"/>
          <w:bCs/>
          <w:lang w:val="en-US" w:eastAsia="zh-CN"/>
        </w:rPr>
        <w:t xml:space="preserve"> LBT operation. </w:t>
      </w:r>
      <w:r>
        <w:rPr>
          <w:rFonts w:hint="eastAsia"/>
          <w:lang w:val="en-US" w:eastAsia="zh-CN"/>
        </w:rPr>
        <w:t>Due to directional sensing operation,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9</w:t>
      </w:r>
      <w:r>
        <w:rPr>
          <w:rFonts w:hint="eastAsia"/>
          <w:lang w:eastAsia="zh-CN"/>
        </w:rPr>
        <w:t xml:space="preserve">. </w:t>
      </w:r>
      <w:r>
        <w:rPr>
          <w:lang w:eastAsia="zh-CN"/>
        </w:rPr>
        <w:t>For example, b</w:t>
      </w:r>
      <w:r>
        <w:rPr>
          <w:rFonts w:hint="eastAsia"/>
          <w:lang w:eastAsia="zh-CN"/>
        </w:rPr>
        <w:t>oth BS1 and BS2 adopt directional beam mode to transmit/receive. BS1 sense</w:t>
      </w:r>
      <w:r>
        <w:rPr>
          <w:rFonts w:hint="eastAsia" w:eastAsia="宋体"/>
          <w:lang w:eastAsia="zh-CN"/>
        </w:rPr>
        <w:t>s</w:t>
      </w:r>
      <w:r>
        <w:rPr>
          <w:rFonts w:hint="eastAsia"/>
          <w:lang w:eastAsia="zh-CN"/>
        </w:rPr>
        <w:t xml:space="preserve"> channel idle and transmit</w:t>
      </w:r>
      <w:r>
        <w:rPr>
          <w:rFonts w:hint="eastAsia" w:eastAsia="宋体"/>
          <w:lang w:eastAsia="zh-CN"/>
        </w:rPr>
        <w:t>s</w:t>
      </w:r>
      <w:r>
        <w:rPr>
          <w:rFonts w:hint="eastAsia"/>
          <w:lang w:eastAsia="zh-CN"/>
        </w:rPr>
        <w:t xml:space="preserve"> to UE1</w:t>
      </w:r>
      <w:r>
        <w:rPr>
          <w:rFonts w:hint="eastAsia" w:eastAsia="宋体"/>
          <w:lang w:eastAsia="zh-CN"/>
        </w:rPr>
        <w:t>.</w:t>
      </w:r>
      <w:r>
        <w:rPr>
          <w:rFonts w:hint="eastAsia"/>
          <w:lang w:eastAsia="zh-CN"/>
        </w:rPr>
        <w:t xml:space="preserve"> BS2</w:t>
      </w:r>
      <w:r>
        <w:rPr>
          <w:rFonts w:hint="eastAsia"/>
          <w:lang w:val="en-US" w:eastAsia="zh-CN"/>
        </w:rPr>
        <w:t xml:space="preserve"> in its beam direction</w:t>
      </w:r>
      <w:r>
        <w:rPr>
          <w:rFonts w:hint="eastAsia"/>
          <w:lang w:eastAsia="zh-CN"/>
        </w:rPr>
        <w:t xml:space="preserve">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hint="eastAsia" w:eastAsia="宋体"/>
          <w:lang w:eastAsia="zh-CN"/>
        </w:rPr>
        <w:t>.</w:t>
      </w:r>
      <w:r>
        <w:rPr>
          <w:rFonts w:hint="eastAsia"/>
          <w:lang w:eastAsia="zh-CN"/>
        </w:rPr>
        <w:t xml:space="preserve"> </w:t>
      </w:r>
      <w:r>
        <w:rPr>
          <w:rFonts w:hint="eastAsia" w:eastAsia="宋体"/>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rFonts w:hint="eastAsia"/>
          <w:lang w:val="en-US" w:eastAsia="zh-CN"/>
        </w:rPr>
        <w:t xml:space="preserve">For this case, the directional LBT can be enhanced </w:t>
      </w:r>
      <w:r>
        <w:rPr>
          <w:lang w:val="en-US" w:eastAsia="zh-CN"/>
        </w:rPr>
        <w:t>by</w:t>
      </w:r>
      <w:r>
        <w:rPr>
          <w:rFonts w:hint="eastAsia"/>
          <w:lang w:val="en-US" w:eastAsia="zh-CN"/>
        </w:rPr>
        <w:t xml:space="preserve"> target UE perform</w:t>
      </w:r>
      <w:r>
        <w:rPr>
          <w:lang w:val="en-US" w:eastAsia="zh-CN"/>
        </w:rPr>
        <w:t>ing</w:t>
      </w:r>
      <w:r>
        <w:rPr>
          <w:rFonts w:hint="eastAsia"/>
          <w:lang w:val="en-US" w:eastAsia="zh-CN"/>
        </w:rPr>
        <w:t xml:space="preserve"> a directional LBT and send</w:t>
      </w:r>
      <w:r>
        <w:rPr>
          <w:lang w:val="en-US" w:eastAsia="zh-CN"/>
        </w:rPr>
        <w:t>ing</w:t>
      </w:r>
      <w:r>
        <w:rPr>
          <w:rFonts w:hint="eastAsia"/>
          <w:lang w:val="en-US" w:eastAsia="zh-CN"/>
        </w:rPr>
        <w:t xml:space="preserve"> a short indication signal. Therefore, receiver assistance should be support</w:t>
      </w:r>
      <w:r>
        <w:rPr>
          <w:lang w:val="en-US" w:eastAsia="zh-CN"/>
        </w:rPr>
        <w:t>ed</w:t>
      </w:r>
      <w:r>
        <w:rPr>
          <w:rFonts w:hint="eastAsia"/>
          <w:lang w:val="en-US" w:eastAsia="zh-CN"/>
        </w:rPr>
        <w:t xml:space="preserve"> to help mitigation potential hidden node issue.</w:t>
      </w:r>
    </w:p>
    <w:p>
      <w:pPr>
        <w:spacing w:before="120" w:after="120" w:line="240" w:lineRule="auto"/>
        <w:jc w:val="center"/>
        <w:rPr>
          <w:lang w:eastAsia="zh-CN"/>
        </w:rPr>
      </w:pPr>
      <w:r>
        <w:object>
          <v:shape id="_x0000_i1033" o:spt="75" type="#_x0000_t75" style="height:142.5pt;width:192.5pt;" o:ole="t" filled="f" o:preferrelative="t" stroked="f" coordsize="21600,21600">
            <v:path/>
            <v:fill on="f" focussize="0,0"/>
            <v:stroke on="f" joinstyle="miter"/>
            <v:imagedata r:id="rId24" o:title=""/>
            <o:lock v:ext="edit" aspectratio="t"/>
            <w10:wrap type="none"/>
            <w10:anchorlock/>
          </v:shape>
          <o:OLEObject Type="Embed" ProgID="Visio.Drawing.11" ShapeID="_x0000_i1033" DrawAspect="Content" ObjectID="_1468075733" r:id="rId23">
            <o:LockedField>false</o:LockedField>
          </o:OLEObject>
        </w:object>
      </w:r>
    </w:p>
    <w:p>
      <w:pPr>
        <w:spacing w:before="120" w:after="120" w:line="240" w:lineRule="auto"/>
        <w:jc w:val="center"/>
        <w:rPr>
          <w:rFonts w:eastAsia="宋体"/>
          <w:b/>
          <w:bCs/>
          <w:lang w:eastAsia="zh-CN"/>
        </w:rPr>
      </w:pPr>
      <w:r>
        <w:rPr>
          <w:rFonts w:eastAsia="宋体"/>
          <w:b/>
          <w:bCs/>
          <w:lang w:eastAsia="zh-CN"/>
        </w:rPr>
        <w:t>Figure</w:t>
      </w:r>
      <w:r>
        <w:rPr>
          <w:rFonts w:hint="eastAsia" w:eastAsia="宋体"/>
          <w:b/>
          <w:bCs/>
          <w:lang w:val="en-US" w:eastAsia="zh-CN"/>
        </w:rPr>
        <w:t xml:space="preserve">9. </w:t>
      </w:r>
      <w:r>
        <w:rPr>
          <w:rFonts w:eastAsia="宋体"/>
          <w:b/>
          <w:bCs/>
          <w:lang w:eastAsia="zh-CN"/>
        </w:rPr>
        <w:t>Directional Tx/Rx</w:t>
      </w:r>
    </w:p>
    <w:p>
      <w:pPr>
        <w:numPr>
          <w:ilvl w:val="255"/>
          <w:numId w:val="0"/>
        </w:numPr>
        <w:tabs>
          <w:tab w:val="left" w:pos="450"/>
          <w:tab w:val="left" w:pos="720"/>
        </w:tabs>
        <w:spacing w:before="137" w:beforeLines="50" w:after="137" w:afterLines="50" w:line="240" w:lineRule="auto"/>
        <w:jc w:val="both"/>
        <w:rPr>
          <w:rFonts w:eastAsia="宋体"/>
          <w:i/>
          <w:iCs/>
          <w:sz w:val="21"/>
          <w:szCs w:val="21"/>
          <w:lang w:val="en-US" w:eastAsia="zh-CN"/>
        </w:rPr>
      </w:pPr>
      <w:r>
        <w:rPr>
          <w:rFonts w:hint="eastAsia"/>
          <w:b/>
          <w:bCs/>
          <w:lang w:val="en-US" w:eastAsia="zh-CN"/>
        </w:rPr>
        <w:t xml:space="preserve">Proposal 17: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performs a directional LBT and sends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bookmarkEnd w:id="1"/>
    <w:bookmarkEnd w:id="2"/>
    <w:bookmarkEnd w:id="3"/>
    <w:bookmarkEnd w:id="4"/>
    <w:p>
      <w:pPr>
        <w:pStyle w:val="2"/>
        <w:spacing w:before="120" w:after="120" w:line="240" w:lineRule="auto"/>
        <w:ind w:left="0" w:firstLine="0"/>
        <w:jc w:val="both"/>
        <w:rPr>
          <w:rFonts w:ascii="Times New Roman" w:hAnsi="Times New Roman" w:eastAsia="宋体"/>
          <w:b/>
          <w:sz w:val="32"/>
          <w:szCs w:val="32"/>
          <w:lang w:val="en-US" w:eastAsia="zh-CN"/>
        </w:rPr>
      </w:pPr>
      <w:bookmarkStart w:id="7" w:name="IDX-CHP-8-0996"/>
      <w:bookmarkEnd w:id="7"/>
      <w:bookmarkStart w:id="8" w:name="IDX-CHP-8-0994"/>
      <w:bookmarkEnd w:id="8"/>
      <w:bookmarkStart w:id="9" w:name="IDX-CHP-8-0992"/>
      <w:bookmarkEnd w:id="9"/>
      <w:bookmarkStart w:id="10" w:name="IDX-CHP-8-0993"/>
      <w:bookmarkEnd w:id="10"/>
      <w:bookmarkStart w:id="11" w:name="IDX-CHP-8-0995"/>
      <w:bookmarkEnd w:id="11"/>
      <w:r>
        <w:rPr>
          <w:rFonts w:ascii="Times New Roman" w:hAnsi="Times New Roman" w:eastAsia="宋体"/>
          <w:b/>
          <w:sz w:val="32"/>
          <w:szCs w:val="32"/>
          <w:lang w:val="en-US" w:eastAsia="zh-CN"/>
        </w:rPr>
        <w:t xml:space="preserve"> </w:t>
      </w:r>
      <w:r>
        <w:rPr>
          <w:rFonts w:hint="eastAsia" w:ascii="Times New Roman" w:hAnsi="Times New Roman" w:eastAsia="宋体"/>
          <w:b/>
          <w:sz w:val="32"/>
          <w:szCs w:val="32"/>
          <w:lang w:val="en-US" w:eastAsia="zh-CN"/>
        </w:rPr>
        <w:t xml:space="preserve">Conclusion </w:t>
      </w:r>
    </w:p>
    <w:p>
      <w:pPr>
        <w:widowControl w:val="0"/>
        <w:tabs>
          <w:tab w:val="left" w:pos="2784"/>
        </w:tabs>
        <w:autoSpaceDE w:val="0"/>
        <w:autoSpaceDN w:val="0"/>
        <w:adjustRightInd w:val="0"/>
        <w:spacing w:before="137" w:beforeLines="50" w:after="137" w:afterLines="50" w:line="240"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channel access procedure for NR-U. </w:t>
      </w:r>
      <w:r>
        <w:rPr>
          <w:rFonts w:eastAsia="宋体"/>
          <w:lang w:val="en-US" w:eastAsia="zh-CN"/>
        </w:rPr>
        <w:t>We have the following proposal</w:t>
      </w:r>
      <w:r>
        <w:rPr>
          <w:rFonts w:hint="eastAsia" w:eastAsia="宋体"/>
          <w:lang w:val="en-US" w:eastAsia="zh-CN"/>
        </w:rPr>
        <w:t>s and observation</w:t>
      </w:r>
      <w:r>
        <w:rPr>
          <w:rFonts w:eastAsia="宋体"/>
          <w:lang w:val="en-US" w:eastAsia="zh-CN"/>
        </w:rPr>
        <w:t>:</w:t>
      </w:r>
    </w:p>
    <w:p>
      <w:pPr>
        <w:spacing w:before="137" w:beforeLines="50" w:after="137" w:afterLines="50" w:line="240" w:lineRule="auto"/>
        <w:jc w:val="both"/>
        <w:rPr>
          <w:rFonts w:hint="default"/>
          <w:b/>
          <w:bCs/>
          <w:lang w:val="en-US" w:eastAsia="zh-CN"/>
        </w:rPr>
      </w:pPr>
      <w:r>
        <w:rPr>
          <w:rFonts w:hint="eastAsia"/>
          <w:b/>
          <w:bCs/>
          <w:lang w:val="en-US" w:eastAsia="zh-CN"/>
        </w:rPr>
        <w:t xml:space="preserve">Proposal 1: </w:t>
      </w:r>
      <w:r>
        <w:rPr>
          <w:rFonts w:hint="eastAsia"/>
          <w:b w:val="0"/>
          <w:bCs w:val="0"/>
          <w:i/>
          <w:iCs/>
          <w:sz w:val="20"/>
          <w:szCs w:val="20"/>
          <w:lang w:val="en-US" w:eastAsia="zh-CN"/>
        </w:rPr>
        <w:t xml:space="preserve">From the respective of minimizing the impacts of specification and the fairness of coexistence, Alt 1 that Cat-2 LBT with 16 </w:t>
      </w:r>
      <w:r>
        <w:rPr>
          <w:rFonts w:hint="eastAsia" w:ascii="Times New Roman" w:hAnsi="Times New Roman" w:eastAsia="Times New Roman" w:cs="Times New Roman"/>
          <w:b w:val="0"/>
          <w:bCs w:val="0"/>
          <w:i/>
          <w:iCs/>
          <w:sz w:val="20"/>
          <w:szCs w:val="20"/>
          <w:vertAlign w:val="baseline"/>
          <w:lang w:val="en-US" w:eastAsia="zh-CN"/>
        </w:rPr>
        <w:t>µ</w:t>
      </w:r>
      <w:r>
        <w:rPr>
          <w:rFonts w:hint="eastAsia" w:eastAsia="Times New Roman" w:cs="Times New Roman"/>
          <w:b w:val="0"/>
          <w:bCs w:val="0"/>
          <w:i/>
          <w:iCs/>
          <w:sz w:val="20"/>
          <w:szCs w:val="20"/>
          <w:vertAlign w:val="baseline"/>
          <w:lang w:val="en-US" w:eastAsia="zh-CN"/>
        </w:rPr>
        <w:t xml:space="preserve">s consists of a duration Tsl = 9 </w:t>
      </w:r>
      <w:r>
        <w:rPr>
          <w:rFonts w:hint="eastAsia" w:ascii="Times New Roman" w:hAnsi="Times New Roman" w:eastAsia="Times New Roman" w:cs="Times New Roman"/>
          <w:b w:val="0"/>
          <w:bCs w:val="0"/>
          <w:i/>
          <w:iCs/>
          <w:sz w:val="20"/>
          <w:szCs w:val="20"/>
          <w:vertAlign w:val="baseline"/>
          <w:lang w:val="en-US" w:eastAsia="zh-CN"/>
        </w:rPr>
        <w:t>µ</w:t>
      </w:r>
      <w:r>
        <w:rPr>
          <w:rFonts w:hint="eastAsia" w:eastAsia="Times New Roman" w:cs="Times New Roman"/>
          <w:b w:val="0"/>
          <w:bCs w:val="0"/>
          <w:i/>
          <w:iCs/>
          <w:sz w:val="20"/>
          <w:szCs w:val="20"/>
          <w:vertAlign w:val="baseline"/>
          <w:lang w:val="en-US" w:eastAsia="zh-CN"/>
        </w:rPr>
        <w:t xml:space="preserve">s immediately followed by a slot duration Ti = 7 µs and Energy measurement is done in the Tsl = 9 </w:t>
      </w:r>
      <w:r>
        <w:rPr>
          <w:rFonts w:hint="eastAsia" w:ascii="Times New Roman" w:hAnsi="Times New Roman" w:eastAsia="Times New Roman" w:cs="Times New Roman"/>
          <w:b w:val="0"/>
          <w:bCs w:val="0"/>
          <w:i/>
          <w:iCs/>
          <w:sz w:val="20"/>
          <w:szCs w:val="20"/>
          <w:vertAlign w:val="baseline"/>
          <w:lang w:val="en-US" w:eastAsia="zh-CN"/>
        </w:rPr>
        <w:t>µ</w:t>
      </w:r>
      <w:r>
        <w:rPr>
          <w:rFonts w:hint="eastAsia" w:eastAsia="Times New Roman" w:cs="Times New Roman"/>
          <w:b w:val="0"/>
          <w:bCs w:val="0"/>
          <w:i/>
          <w:iCs/>
          <w:sz w:val="20"/>
          <w:szCs w:val="20"/>
          <w:vertAlign w:val="baseline"/>
          <w:lang w:val="en-US" w:eastAsia="zh-CN"/>
        </w:rPr>
        <w:t xml:space="preserve">s slot with the measurement including averaging for at least 4 us in any portion of the Tsl = 9 </w:t>
      </w:r>
      <w:r>
        <w:rPr>
          <w:rFonts w:hint="eastAsia" w:ascii="Times New Roman" w:hAnsi="Times New Roman" w:eastAsia="Times New Roman" w:cs="Times New Roman"/>
          <w:b w:val="0"/>
          <w:bCs w:val="0"/>
          <w:i/>
          <w:iCs/>
          <w:sz w:val="20"/>
          <w:szCs w:val="20"/>
          <w:vertAlign w:val="baseline"/>
          <w:lang w:val="en-US" w:eastAsia="zh-CN"/>
        </w:rPr>
        <w:t>µ</w:t>
      </w:r>
      <w:r>
        <w:rPr>
          <w:rFonts w:hint="eastAsia" w:eastAsia="Times New Roman" w:cs="Times New Roman"/>
          <w:b w:val="0"/>
          <w:bCs w:val="0"/>
          <w:i/>
          <w:iCs/>
          <w:sz w:val="20"/>
          <w:szCs w:val="20"/>
          <w:vertAlign w:val="baseline"/>
          <w:lang w:val="en-US" w:eastAsia="zh-CN"/>
        </w:rPr>
        <w:t>s slot should be supported.</w:t>
      </w:r>
    </w:p>
    <w:p>
      <w:pPr>
        <w:spacing w:before="137" w:beforeLines="50" w:after="137" w:afterLines="50" w:line="240" w:lineRule="auto"/>
        <w:jc w:val="both"/>
        <w:rPr>
          <w:rFonts w:hint="default"/>
          <w:b w:val="0"/>
          <w:bCs w:val="0"/>
          <w:i/>
          <w:iCs/>
          <w:lang w:val="en-US" w:eastAsia="zh-CN"/>
        </w:rPr>
      </w:pPr>
      <w:r>
        <w:rPr>
          <w:rFonts w:hint="eastAsia"/>
          <w:b/>
          <w:bCs/>
          <w:lang w:val="en-US" w:eastAsia="zh-CN"/>
        </w:rPr>
        <w:t xml:space="preserve">Proposal 2: </w:t>
      </w:r>
      <w:r>
        <w:rPr>
          <w:rFonts w:hint="eastAsia"/>
          <w:b w:val="0"/>
          <w:bCs w:val="0"/>
          <w:i/>
          <w:iCs/>
          <w:lang w:val="en-US" w:eastAsia="zh-CN"/>
        </w:rPr>
        <w:t>LBT type used by UE for UL transmission should be indicated by gNB.</w:t>
      </w:r>
    </w:p>
    <w:p>
      <w:pPr>
        <w:spacing w:before="137" w:beforeLines="50" w:after="137" w:afterLines="50"/>
        <w:jc w:val="both"/>
        <w:rPr>
          <w:rFonts w:hint="default"/>
          <w:highlight w:val="none"/>
          <w:lang w:val="en-US" w:eastAsia="zh-CN"/>
        </w:rPr>
      </w:pPr>
      <w:r>
        <w:rPr>
          <w:rFonts w:hint="eastAsia"/>
          <w:b/>
          <w:bCs/>
          <w:lang w:val="en-US" w:eastAsia="zh-CN"/>
        </w:rPr>
        <w:t xml:space="preserve">Proposal 3: </w:t>
      </w:r>
      <w:r>
        <w:rPr>
          <w:rFonts w:hint="eastAsia"/>
          <w:b w:val="0"/>
          <w:bCs w:val="0"/>
          <w:i/>
          <w:iCs/>
          <w:lang w:val="en-US" w:eastAsia="zh-CN"/>
        </w:rPr>
        <w:t xml:space="preserve">LBT priority is unnecessary to be indicated to UE when Cat-4 LBT is indicated for </w:t>
      </w:r>
      <w:r>
        <w:rPr>
          <w:rFonts w:hint="eastAsia"/>
          <w:i/>
          <w:iCs/>
          <w:highlight w:val="none"/>
          <w:lang w:val="en-US" w:eastAsia="zh-CN"/>
        </w:rPr>
        <w:t>SRS-only, RACH-only or PUCCH-only.</w:t>
      </w:r>
    </w:p>
    <w:p>
      <w:pPr>
        <w:numPr>
          <w:ilvl w:val="255"/>
          <w:numId w:val="0"/>
        </w:numPr>
        <w:adjustRightInd w:val="0"/>
        <w:spacing w:before="137" w:beforeLines="50" w:after="137" w:afterLines="50" w:line="240" w:lineRule="auto"/>
        <w:jc w:val="both"/>
        <w:rPr>
          <w:i/>
          <w:iCs/>
          <w:lang w:val="en-US" w:eastAsia="zh-CN"/>
        </w:rPr>
      </w:pPr>
      <w:r>
        <w:rPr>
          <w:rFonts w:hint="eastAsia"/>
          <w:b/>
          <w:bCs/>
          <w:lang w:val="en-US" w:eastAsia="zh-CN"/>
        </w:rPr>
        <w:t xml:space="preserve">Proposal 4: </w:t>
      </w:r>
      <w:r>
        <w:rPr>
          <w:i/>
          <w:iCs/>
          <w:lang w:val="en-US" w:eastAsia="zh-CN"/>
        </w:rPr>
        <w:t xml:space="preserve">If CBG based HARQ-ACK feedback is configured for NR-U, </w:t>
      </w:r>
      <w:r>
        <w:rPr>
          <w:rFonts w:hint="eastAsia"/>
          <w:i/>
          <w:iCs/>
          <w:lang w:val="en-US" w:eastAsia="zh-CN"/>
        </w:rPr>
        <w:t>ACK/</w:t>
      </w:r>
      <w:r>
        <w:rPr>
          <w:i/>
          <w:iCs/>
          <w:lang w:val="en-US" w:eastAsia="zh-CN"/>
        </w:rPr>
        <w:t>NACK ratio Z can be counted/determined by one of the following methods:</w:t>
      </w:r>
    </w:p>
    <w:p>
      <w:pPr>
        <w:numPr>
          <w:ilvl w:val="0"/>
          <w:numId w:val="14"/>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Alt-1: CBG level ACK/NACK is co</w:t>
      </w:r>
      <w:r>
        <w:rPr>
          <w:rFonts w:eastAsia="宋体"/>
          <w:bCs/>
          <w:i/>
          <w:iCs/>
          <w:lang w:val="en-US" w:eastAsia="zh-CN"/>
        </w:rPr>
        <w:t>n</w:t>
      </w:r>
      <w:r>
        <w:rPr>
          <w:rFonts w:hint="eastAsia" w:eastAsia="宋体"/>
          <w:bCs/>
          <w:i/>
          <w:iCs/>
          <w:lang w:val="en-US" w:eastAsia="zh-CN"/>
        </w:rPr>
        <w:t>verted into TB level ACK/NACK. Wherein, the ACK/NACK ratio Z is of TB level.</w:t>
      </w:r>
    </w:p>
    <w:p>
      <w:pPr>
        <w:numPr>
          <w:ilvl w:val="0"/>
          <w:numId w:val="14"/>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Alt-2: Redefinition ACK/NACK ratio Z in order to include TB level ACK/NACK and CBG level ACK/NACK.</w:t>
      </w:r>
    </w:p>
    <w:p>
      <w:pPr>
        <w:spacing w:before="137" w:beforeLines="50" w:after="137" w:afterLines="50" w:line="240" w:lineRule="auto"/>
        <w:jc w:val="both"/>
        <w:rPr>
          <w:rFonts w:hint="eastAsia" w:eastAsia="宋体"/>
          <w:i/>
          <w:iCs/>
          <w:lang w:val="en-US" w:eastAsia="zh-CN"/>
        </w:rPr>
      </w:pPr>
      <w:r>
        <w:rPr>
          <w:rFonts w:hint="eastAsia"/>
          <w:b/>
          <w:bCs/>
          <w:lang w:val="en-US" w:eastAsia="zh-CN"/>
        </w:rPr>
        <w:t xml:space="preserve">Proposal 5: </w:t>
      </w:r>
      <w:r>
        <w:rPr>
          <w:rFonts w:hint="eastAsia"/>
          <w:i/>
          <w:iCs/>
          <w:lang w:val="en-US" w:eastAsia="zh-CN"/>
        </w:rPr>
        <w:t xml:space="preserve">For CWS adjustment for configured grant, </w:t>
      </w:r>
      <w:r>
        <w:rPr>
          <w:rFonts w:hint="eastAsia" w:eastAsia="宋体"/>
          <w:i/>
          <w:iCs/>
          <w:lang w:val="en-US" w:eastAsia="zh-CN"/>
        </w:rPr>
        <w:t>the CWS adjustment scheme specified in AUL of R14 eLAA can be used as a starting point for study.</w:t>
      </w:r>
    </w:p>
    <w:p>
      <w:pPr>
        <w:spacing w:before="137" w:beforeLines="50" w:after="137" w:afterLines="50"/>
        <w:jc w:val="both"/>
        <w:rPr>
          <w:rFonts w:hint="eastAsia"/>
          <w:b w:val="0"/>
          <w:bCs w:val="0"/>
          <w:i/>
          <w:iCs/>
          <w:lang w:val="en-US" w:eastAsia="zh-CN"/>
        </w:rPr>
      </w:pPr>
      <w:r>
        <w:rPr>
          <w:rFonts w:hint="eastAsia"/>
          <w:b/>
          <w:bCs/>
          <w:lang w:val="en-US" w:eastAsia="zh-CN"/>
        </w:rPr>
        <w:t xml:space="preserve">Proposal 6: </w:t>
      </w:r>
      <w:r>
        <w:rPr>
          <w:rFonts w:hint="eastAsia"/>
          <w:b w:val="0"/>
          <w:bCs w:val="0"/>
          <w:i/>
          <w:iCs/>
          <w:lang w:val="en-US" w:eastAsia="zh-CN"/>
        </w:rPr>
        <w:t xml:space="preserve">If CWs adjustment for PRACH is supported for NR-U, it is recommended that CWs for PRACH preamble can be adjusted based on the success or failure of reception of Msg 2. </w:t>
      </w:r>
    </w:p>
    <w:p>
      <w:pPr>
        <w:spacing w:before="137" w:beforeLines="50" w:after="137" w:afterLines="50"/>
        <w:jc w:val="both"/>
        <w:rPr>
          <w:rFonts w:hint="default"/>
          <w:b/>
          <w:bCs/>
          <w:i w:val="0"/>
          <w:iCs w:val="0"/>
          <w:sz w:val="20"/>
          <w:szCs w:val="20"/>
          <w:lang w:val="en-US" w:eastAsia="zh-CN"/>
        </w:rPr>
      </w:pPr>
      <w:r>
        <w:rPr>
          <w:rFonts w:hint="eastAsia"/>
          <w:b/>
          <w:bCs/>
          <w:i w:val="0"/>
          <w:sz w:val="20"/>
          <w:szCs w:val="20"/>
          <w:lang w:val="en-US" w:eastAsia="zh-CN"/>
        </w:rPr>
        <w:t xml:space="preserve">Proposal 7: </w:t>
      </w:r>
      <w:r>
        <w:rPr>
          <w:rFonts w:hint="eastAsia"/>
          <w:b w:val="0"/>
          <w:bCs w:val="0"/>
          <w:i/>
          <w:iCs/>
          <w:sz w:val="20"/>
          <w:szCs w:val="20"/>
          <w:lang w:val="en-US" w:eastAsia="zh-CN"/>
        </w:rPr>
        <w:t xml:space="preserve">For channels and signals without </w:t>
      </w:r>
      <w:r>
        <w:rPr>
          <w:rFonts w:hint="eastAsia" w:eastAsia="Times New Roman"/>
          <w:b w:val="0"/>
          <w:bCs w:val="0"/>
          <w:i/>
          <w:iCs/>
          <w:sz w:val="20"/>
          <w:szCs w:val="20"/>
          <w:lang w:val="en-US" w:eastAsia="zh-CN"/>
        </w:rPr>
        <w:t>f</w:t>
      </w:r>
      <w:r>
        <w:rPr>
          <w:rFonts w:hint="eastAsia"/>
          <w:b w:val="0"/>
          <w:bCs w:val="0"/>
          <w:i/>
          <w:iCs/>
          <w:sz w:val="20"/>
          <w:szCs w:val="20"/>
          <w:lang w:val="en-US" w:eastAsia="zh-CN"/>
        </w:rPr>
        <w:t>eedback</w:t>
      </w:r>
      <w:r>
        <w:rPr>
          <w:rFonts w:hint="eastAsia" w:eastAsia="Times New Roman"/>
          <w:b w:val="0"/>
          <w:bCs w:val="0"/>
          <w:i/>
          <w:iCs/>
          <w:sz w:val="20"/>
          <w:szCs w:val="20"/>
          <w:lang w:val="en-US" w:eastAsia="zh-CN"/>
        </w:rPr>
        <w:t xml:space="preserve"> such as PUCCH, SRS and PUSCH without UL-SCH</w:t>
      </w:r>
      <w:r>
        <w:rPr>
          <w:rFonts w:hint="eastAsia"/>
          <w:b w:val="0"/>
          <w:bCs w:val="0"/>
          <w:i/>
          <w:iCs/>
          <w:sz w:val="20"/>
          <w:szCs w:val="20"/>
          <w:lang w:val="en-US" w:eastAsia="zh-CN"/>
        </w:rPr>
        <w:t>,</w:t>
      </w:r>
      <w:r>
        <w:rPr>
          <w:rFonts w:hint="eastAsia" w:eastAsia="Times New Roman"/>
          <w:b w:val="0"/>
          <w:bCs w:val="0"/>
          <w:i/>
          <w:iCs/>
          <w:sz w:val="20"/>
          <w:szCs w:val="20"/>
          <w:lang w:val="en-US" w:eastAsia="zh-CN"/>
        </w:rPr>
        <w:t xml:space="preserve"> </w:t>
      </w:r>
      <w:r>
        <w:rPr>
          <w:rFonts w:hint="eastAsia"/>
          <w:b w:val="0"/>
          <w:bCs w:val="0"/>
          <w:i/>
          <w:iCs/>
          <w:sz w:val="20"/>
          <w:szCs w:val="20"/>
          <w:lang w:val="en-US" w:eastAsia="zh-CN"/>
        </w:rPr>
        <w:t>CW</w:t>
      </w:r>
      <w:r>
        <w:rPr>
          <w:rFonts w:hint="eastAsia" w:eastAsia="Times New Roman"/>
          <w:b w:val="0"/>
          <w:bCs w:val="0"/>
          <w:i/>
          <w:iCs/>
          <w:sz w:val="20"/>
          <w:szCs w:val="20"/>
          <w:lang w:val="en-US" w:eastAsia="zh-CN"/>
        </w:rPr>
        <w:t xml:space="preserve">s adjustment can reuse same mechanism as in LET-LAA for </w:t>
      </w:r>
      <w:r>
        <w:rPr>
          <w:rFonts w:hint="eastAsia"/>
          <w:b w:val="0"/>
          <w:bCs w:val="0"/>
          <w:i/>
          <w:iCs/>
          <w:sz w:val="20"/>
          <w:szCs w:val="20"/>
          <w:lang w:val="en-US" w:eastAsia="zh-CN"/>
        </w:rPr>
        <w:t xml:space="preserve">UL </w:t>
      </w:r>
      <w:r>
        <w:rPr>
          <w:rFonts w:hint="eastAsia" w:eastAsia="Times New Roman"/>
          <w:b w:val="0"/>
          <w:bCs w:val="0"/>
          <w:i/>
          <w:iCs/>
          <w:sz w:val="20"/>
          <w:szCs w:val="20"/>
          <w:lang w:val="en-US" w:eastAsia="zh-CN"/>
        </w:rPr>
        <w:t>grant-only transmission, e.g., based on the success or failure of reception of PDSCH transmission in the granted resources</w:t>
      </w:r>
      <w:r>
        <w:rPr>
          <w:rFonts w:hint="eastAsia"/>
          <w:b w:val="0"/>
          <w:bCs w:val="0"/>
          <w:i/>
          <w:iCs/>
          <w:sz w:val="20"/>
          <w:szCs w:val="20"/>
          <w:lang w:val="en-US" w:eastAsia="zh-CN"/>
        </w:rPr>
        <w:t>.</w:t>
      </w:r>
    </w:p>
    <w:p>
      <w:pPr>
        <w:spacing w:before="137" w:beforeLines="50" w:after="137" w:afterLines="50" w:line="240" w:lineRule="auto"/>
        <w:jc w:val="both"/>
        <w:rPr>
          <w:rFonts w:hint="default"/>
          <w:b w:val="0"/>
          <w:bCs w:val="0"/>
          <w:sz w:val="20"/>
          <w:szCs w:val="20"/>
          <w:lang w:val="en-US" w:eastAsia="zh-CN"/>
        </w:rPr>
      </w:pPr>
      <w:r>
        <w:rPr>
          <w:rFonts w:hint="eastAsia"/>
          <w:b/>
          <w:bCs/>
          <w:lang w:val="en-US" w:eastAsia="zh-CN"/>
        </w:rPr>
        <w:t xml:space="preserve">Proposal 8: </w:t>
      </w:r>
      <w:r>
        <w:rPr>
          <w:rFonts w:hint="eastAsia"/>
          <w:b w:val="0"/>
          <w:bCs w:val="0"/>
          <w:i/>
          <w:iCs/>
          <w:sz w:val="20"/>
          <w:szCs w:val="20"/>
          <w:lang w:val="en-US" w:eastAsia="zh-CN"/>
        </w:rPr>
        <w:t xml:space="preserve">The method of </w:t>
      </w:r>
      <w:r>
        <w:rPr>
          <w:rFonts w:hint="eastAsia"/>
          <w:i/>
          <w:iCs/>
          <w:sz w:val="20"/>
          <w:szCs w:val="20"/>
          <w:lang w:val="en-US" w:eastAsia="zh-CN"/>
        </w:rPr>
        <w:t>R</w:t>
      </w:r>
      <w:r>
        <w:rPr>
          <w:rFonts w:hint="eastAsia"/>
          <w:i/>
          <w:iCs/>
          <w:lang w:val="en-US" w:eastAsia="zh-CN"/>
        </w:rPr>
        <w:t xml:space="preserve">andomly selection the starting position of CCA in CCA time window (idle period) </w:t>
      </w:r>
      <w:r>
        <w:rPr>
          <w:i/>
          <w:iCs/>
          <w:lang w:val="en-US" w:eastAsia="zh-CN"/>
        </w:rPr>
        <w:t xml:space="preserve"> can be considered for FBE to solve unfairness problem 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pPr>
        <w:spacing w:before="137" w:beforeLines="50" w:after="137" w:afterLines="50"/>
        <w:jc w:val="both"/>
        <w:rPr>
          <w:rFonts w:hint="default"/>
          <w:lang w:val="en-US" w:eastAsia="zh-CN"/>
        </w:rPr>
      </w:pPr>
      <w:r>
        <w:rPr>
          <w:rFonts w:hint="eastAsia"/>
          <w:b/>
          <w:bCs/>
          <w:lang w:val="en-US" w:eastAsia="zh-CN"/>
        </w:rPr>
        <w:t xml:space="preserve">Proposal 9: </w:t>
      </w:r>
      <w:r>
        <w:rPr>
          <w:rFonts w:hint="eastAsia"/>
          <w:b w:val="0"/>
          <w:bCs w:val="0"/>
          <w:i/>
          <w:iCs/>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p>
      <w:pPr>
        <w:spacing w:before="137" w:beforeLines="50" w:after="137" w:afterLines="50"/>
        <w:jc w:val="both"/>
        <w:rPr>
          <w:rFonts w:hint="default"/>
          <w:i/>
          <w:iCs/>
          <w:highlight w:val="none"/>
          <w:lang w:val="en-US" w:eastAsia="zh-CN"/>
        </w:rPr>
      </w:pPr>
      <w:r>
        <w:rPr>
          <w:rFonts w:hint="eastAsia"/>
          <w:b/>
          <w:bCs/>
          <w:lang w:val="en-US" w:eastAsia="zh-CN"/>
        </w:rPr>
        <w:t xml:space="preserve">Observation 1: </w:t>
      </w:r>
      <w:r>
        <w:rPr>
          <w:rFonts w:hint="eastAsia"/>
          <w:b w:val="0"/>
          <w:bCs w:val="0"/>
          <w:i/>
          <w:iCs/>
          <w:lang w:val="en-US" w:eastAsia="zh-CN"/>
        </w:rPr>
        <w:t>Considering that no any restriction on maximum TX duration for Cat-1 LBT in ETSI specification,</w:t>
      </w:r>
      <w:r>
        <w:rPr>
          <w:rFonts w:hint="eastAsia"/>
          <w:b w:val="0"/>
          <w:bCs w:val="0"/>
          <w:i/>
          <w:iCs/>
          <w:highlight w:val="none"/>
          <w:lang w:val="en-US" w:eastAsia="zh-CN"/>
        </w:rPr>
        <w:t xml:space="preserve"> it is recommended that  the maximum TX duration for Cat-1 LBT should not be limited. </w:t>
      </w:r>
    </w:p>
    <w:p>
      <w:pPr>
        <w:numPr>
          <w:ilvl w:val="-1"/>
          <w:numId w:val="0"/>
        </w:numPr>
        <w:spacing w:before="137" w:beforeLines="50" w:after="137" w:afterLines="50" w:line="259" w:lineRule="auto"/>
        <w:ind w:left="0" w:firstLine="0"/>
        <w:jc w:val="left"/>
        <w:rPr>
          <w:rFonts w:hint="default"/>
          <w:i/>
          <w:iCs/>
          <w:lang w:val="en-US" w:eastAsia="zh-CN"/>
        </w:rPr>
      </w:pPr>
      <w:r>
        <w:rPr>
          <w:rFonts w:hint="eastAsia"/>
          <w:b/>
          <w:bCs/>
          <w:lang w:val="en-US" w:eastAsia="zh-CN"/>
        </w:rPr>
        <w:t xml:space="preserve">Proposal 10: </w:t>
      </w:r>
      <w:r>
        <w:rPr>
          <w:rFonts w:hint="eastAsia"/>
          <w:b w:val="0"/>
          <w:bCs w:val="0"/>
          <w:i/>
          <w:iCs/>
          <w:lang w:val="en-US" w:eastAsia="zh-CN"/>
        </w:rPr>
        <w:t xml:space="preserve">Considering that DRS transmission opportunities and application scenarios(e.g., Standalone Scenario), it is recommended that </w:t>
      </w:r>
      <w:r>
        <w:rPr>
          <w:rFonts w:hint="eastAsia"/>
          <w:i/>
          <w:iCs/>
          <w:lang w:val="en-US" w:eastAsia="zh-CN"/>
        </w:rPr>
        <w:t>Cat-2 LBT can be attempted on each candidate SSB position within a 5ms DRS transmission window.</w:t>
      </w:r>
    </w:p>
    <w:p>
      <w:pPr>
        <w:pStyle w:val="124"/>
        <w:spacing w:before="137" w:beforeLines="50" w:after="137" w:afterLines="50" w:line="240" w:lineRule="auto"/>
        <w:ind w:left="0"/>
        <w:rPr>
          <w:rFonts w:hint="eastAsia"/>
          <w:lang w:val="en-US" w:eastAsia="zh-CN"/>
        </w:rPr>
      </w:pPr>
      <w:r>
        <w:rPr>
          <w:rFonts w:hint="eastAsia"/>
          <w:b/>
          <w:bCs/>
          <w:lang w:val="en-US" w:eastAsia="zh-CN"/>
        </w:rPr>
        <w:t>Proposal 11:</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p>
    <w:p>
      <w:pPr>
        <w:tabs>
          <w:tab w:val="left" w:pos="450"/>
          <w:tab w:val="left" w:pos="720"/>
        </w:tabs>
        <w:spacing w:before="137" w:beforeLines="50" w:after="137" w:afterLines="50" w:line="240" w:lineRule="auto"/>
        <w:jc w:val="both"/>
        <w:rPr>
          <w:lang w:val="en-US" w:eastAsia="zh-CN"/>
        </w:rPr>
      </w:pPr>
      <w:r>
        <w:rPr>
          <w:rFonts w:hint="eastAsia"/>
          <w:b/>
          <w:bCs/>
          <w:lang w:val="en-US" w:eastAsia="zh-CN"/>
        </w:rPr>
        <w:t>Proposal 12:</w:t>
      </w:r>
      <w:r>
        <w:rPr>
          <w:rFonts w:hint="eastAsia"/>
          <w:i/>
          <w:iCs/>
          <w:lang w:val="en-US" w:eastAsia="zh-CN"/>
        </w:rPr>
        <w:t xml:space="preserve"> Directional LBT should at least be supported for beam-based SS/PBCH block transmission in order to avoid inaccurate CCA detection problems. </w:t>
      </w:r>
    </w:p>
    <w:p>
      <w:pPr>
        <w:spacing w:before="137" w:beforeLines="50" w:after="137" w:afterLines="50"/>
        <w:rPr>
          <w:i/>
          <w:iCs/>
          <w:lang w:val="en-US" w:eastAsia="zh-CN"/>
        </w:rPr>
      </w:pPr>
      <w:r>
        <w:rPr>
          <w:rFonts w:hint="eastAsia"/>
          <w:b/>
          <w:bCs/>
          <w:lang w:val="en-US" w:eastAsia="zh-CN"/>
        </w:rPr>
        <w:t>Proposal 13:</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w:t>
      </w:r>
      <w:r>
        <w:rPr>
          <w:rFonts w:hint="eastAsia" w:ascii="Times New Roman" w:hAnsi="Times New Roman"/>
          <w:b/>
          <w:bCs w:val="0"/>
          <w:sz w:val="20"/>
          <w:szCs w:val="20"/>
          <w:lang w:val="en-US" w:eastAsia="zh-CN"/>
        </w:rPr>
        <w:t xml:space="preserve"> </w:t>
      </w:r>
    </w:p>
    <w:p>
      <w:pPr>
        <w:spacing w:before="137" w:beforeLines="50" w:after="137" w:afterLines="50" w:line="240" w:lineRule="auto"/>
        <w:jc w:val="both"/>
        <w:rPr>
          <w:i/>
          <w:iCs/>
          <w:lang w:val="en-US" w:eastAsia="zh-CN"/>
        </w:rPr>
      </w:pPr>
      <w:r>
        <w:rPr>
          <w:rFonts w:hint="eastAsia"/>
          <w:b/>
          <w:bCs/>
          <w:lang w:val="en-US" w:eastAsia="zh-CN"/>
        </w:rPr>
        <w:t xml:space="preserve">Proposal 14: </w:t>
      </w:r>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hint="eastAsia" w:eastAsia="宋体"/>
          <w:i/>
          <w:iCs/>
          <w:lang w:val="en-US" w:eastAsia="zh-CN"/>
        </w:rPr>
        <w:t xml:space="preserve">should </w:t>
      </w:r>
      <w:r>
        <w:rPr>
          <w:rFonts w:hint="eastAsia"/>
          <w:i/>
          <w:iCs/>
          <w:lang w:val="en-US" w:eastAsia="zh-CN"/>
        </w:rPr>
        <w:t xml:space="preserve">be supported in NR-U and some methods </w:t>
      </w:r>
      <w:r>
        <w:rPr>
          <w:i/>
          <w:iCs/>
          <w:lang w:val="en-US" w:eastAsia="zh-CN"/>
        </w:rPr>
        <w:t>of</w:t>
      </w:r>
      <w:r>
        <w:rPr>
          <w:rFonts w:hint="eastAsia"/>
          <w:i/>
          <w:iCs/>
          <w:lang w:val="en-US" w:eastAsia="zh-CN"/>
        </w:rPr>
        <w:t xml:space="preserve"> frequency reuse/multiplexing can be considered such as PRB based interlace structure of blank pattern method.</w:t>
      </w:r>
    </w:p>
    <w:p>
      <w:pPr>
        <w:spacing w:before="137" w:beforeLines="50" w:after="137" w:afterLines="50" w:line="240" w:lineRule="auto"/>
        <w:jc w:val="both"/>
        <w:rPr>
          <w:i/>
          <w:iCs/>
          <w:lang w:val="en-US" w:eastAsia="zh-CN"/>
        </w:rPr>
      </w:pPr>
      <w:r>
        <w:rPr>
          <w:rFonts w:hint="eastAsia"/>
          <w:b/>
          <w:bCs/>
          <w:lang w:val="en-US" w:eastAsia="zh-CN"/>
        </w:rPr>
        <w:t xml:space="preserve">Proposal 15: </w:t>
      </w:r>
      <w:r>
        <w:rPr>
          <w:rFonts w:hint="eastAsia"/>
          <w:i/>
          <w:iCs/>
          <w:lang w:val="en-US" w:eastAsia="zh-CN"/>
        </w:rPr>
        <w:t>For blank pattern scheme, RAN1 can send a</w:t>
      </w:r>
      <w:r>
        <w:rPr>
          <w:i/>
          <w:iCs/>
          <w:lang w:val="en-US" w:eastAsia="zh-CN"/>
        </w:rPr>
        <w:t>n</w:t>
      </w:r>
      <w:r>
        <w:rPr>
          <w:rFonts w:hint="eastAsia"/>
          <w:i/>
          <w:iCs/>
          <w:lang w:val="en-US" w:eastAsia="zh-CN"/>
        </w:rPr>
        <w:t xml:space="preserve"> LS to RAN4 in order to evaluate the feasibility of this scheme.</w:t>
      </w:r>
    </w:p>
    <w:p>
      <w:pPr>
        <w:spacing w:before="137" w:beforeLines="50" w:after="137" w:afterLines="50" w:line="240" w:lineRule="auto"/>
        <w:jc w:val="both"/>
        <w:rPr>
          <w:lang w:val="en-US" w:eastAsia="zh-CN"/>
        </w:rPr>
      </w:pPr>
      <w:r>
        <w:rPr>
          <w:rFonts w:hint="eastAsia"/>
          <w:b/>
          <w:bCs/>
          <w:lang w:val="en-US" w:eastAsia="zh-CN"/>
        </w:rPr>
        <w:t>Proposal 16:</w:t>
      </w:r>
      <w:r>
        <w:rPr>
          <w:rFonts w:hint="eastAsia"/>
          <w:i/>
          <w:iCs/>
          <w:lang w:val="en-US" w:eastAsia="zh-CN"/>
        </w:rPr>
        <w:t xml:space="preserve"> Multiplexing/Frequency reuse with blank pattern schemes can achieve performance improvement compared to no-multiplexing/Frequency reuse the gain increases with the increase of traffic load.</w:t>
      </w:r>
      <w:r>
        <w:rPr>
          <w:rFonts w:hint="eastAsia" w:ascii="Times New Roman" w:hAnsi="Times New Roman"/>
          <w:b/>
          <w:bCs w:val="0"/>
          <w:sz w:val="20"/>
          <w:szCs w:val="20"/>
          <w:lang w:val="en-US" w:eastAsia="zh-CN"/>
        </w:rPr>
        <w:t xml:space="preserve">  </w:t>
      </w:r>
      <w:r>
        <w:rPr>
          <w:rFonts w:hint="eastAsia"/>
          <w:i/>
          <w:iCs/>
          <w:lang w:val="en-US" w:eastAsia="zh-CN"/>
        </w:rPr>
        <w:t xml:space="preserve"> </w:t>
      </w:r>
    </w:p>
    <w:p>
      <w:pPr>
        <w:numPr>
          <w:ilvl w:val="255"/>
          <w:numId w:val="0"/>
        </w:numPr>
        <w:tabs>
          <w:tab w:val="left" w:pos="450"/>
          <w:tab w:val="left" w:pos="720"/>
        </w:tabs>
        <w:spacing w:before="137" w:beforeLines="50" w:after="137" w:afterLines="50" w:line="240" w:lineRule="auto"/>
        <w:jc w:val="both"/>
        <w:rPr>
          <w:rFonts w:hint="default"/>
          <w:b/>
          <w:bCs/>
          <w:lang w:val="en-US" w:eastAsia="zh-CN"/>
        </w:rPr>
      </w:pPr>
      <w:r>
        <w:rPr>
          <w:rFonts w:hint="eastAsia"/>
          <w:b/>
          <w:bCs/>
          <w:lang w:val="en-US" w:eastAsia="zh-CN"/>
        </w:rPr>
        <w:t xml:space="preserve">Proposal 17: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performs a directional LBT and sends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w:t>
      </w:r>
      <w:r>
        <w:rPr>
          <w:rFonts w:ascii="Times New Roman" w:hAnsi="Times New Roman" w:eastAsia="宋体"/>
          <w:b/>
          <w:sz w:val="32"/>
          <w:szCs w:val="32"/>
          <w:lang w:val="en-US" w:eastAsia="zh-CN"/>
        </w:rPr>
        <w:t xml:space="preserve">Reference </w:t>
      </w:r>
    </w:p>
    <w:p>
      <w:pPr>
        <w:widowControl w:val="0"/>
        <w:numPr>
          <w:ilvl w:val="0"/>
          <w:numId w:val="16"/>
        </w:numPr>
        <w:autoSpaceDE w:val="0"/>
        <w:autoSpaceDN w:val="0"/>
        <w:adjustRightInd w:val="0"/>
        <w:spacing w:before="60" w:after="60" w:line="240" w:lineRule="auto"/>
        <w:jc w:val="both"/>
        <w:rPr>
          <w:rFonts w:eastAsia="宋体"/>
          <w:lang w:val="en-US" w:eastAsia="zh-CN"/>
        </w:rPr>
      </w:pPr>
      <w:r>
        <w:rPr>
          <w:rFonts w:eastAsia="宋体"/>
          <w:lang w:val="en-US" w:eastAsia="zh-CN"/>
        </w:rPr>
        <w:t xml:space="preserve">3GPP, </w:t>
      </w:r>
      <w:r>
        <w:rPr>
          <w:rFonts w:hint="eastAsia" w:eastAsia="宋体"/>
          <w:lang w:val="en-US" w:eastAsia="zh-CN"/>
        </w:rPr>
        <w:t xml:space="preserve">RP-182878, 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 Qualcomm, Dec, 2018, RAN #82</w:t>
      </w:r>
    </w:p>
    <w:p>
      <w:pPr>
        <w:widowControl w:val="0"/>
        <w:numPr>
          <w:ilvl w:val="0"/>
          <w:numId w:val="16"/>
        </w:numPr>
        <w:autoSpaceDE w:val="0"/>
        <w:autoSpaceDN w:val="0"/>
        <w:adjustRightInd w:val="0"/>
        <w:spacing w:before="60" w:after="60" w:line="240" w:lineRule="auto"/>
        <w:jc w:val="both"/>
        <w:rPr>
          <w:rFonts w:eastAsia="宋体"/>
          <w:lang w:val="en-US" w:eastAsia="zh-CN"/>
        </w:rPr>
      </w:pPr>
      <w:r>
        <w:rPr>
          <w:rFonts w:hint="eastAsia" w:eastAsia="宋体"/>
          <w:lang w:val="en-US" w:eastAsia="zh-CN"/>
        </w:rPr>
        <w:t>3GPP, RP-191581 Guidance on essential functionality for NR-U, Qualcomm, June, 2019, RAN #84</w:t>
      </w:r>
    </w:p>
    <w:p>
      <w:pPr>
        <w:widowControl w:val="0"/>
        <w:numPr>
          <w:ilvl w:val="0"/>
          <w:numId w:val="16"/>
        </w:numPr>
        <w:autoSpaceDE w:val="0"/>
        <w:autoSpaceDN w:val="0"/>
        <w:adjustRightInd w:val="0"/>
        <w:spacing w:before="60" w:after="60" w:line="240" w:lineRule="auto"/>
        <w:jc w:val="both"/>
        <w:rPr>
          <w:rFonts w:hint="eastAsia" w:eastAsia="宋体"/>
          <w:lang w:val="en-US" w:eastAsia="zh-CN"/>
        </w:rPr>
      </w:pPr>
      <w:r>
        <w:rPr>
          <w:rFonts w:eastAsia="宋体"/>
          <w:lang w:val="en-US" w:eastAsia="zh-CN"/>
        </w:rPr>
        <w:t>ETSI regulations 301 893, 5 GHz RLAN;</w:t>
      </w:r>
      <w:r>
        <w:rPr>
          <w:rFonts w:hint="eastAsia" w:eastAsia="宋体"/>
          <w:lang w:val="en-US" w:eastAsia="zh-CN"/>
        </w:rPr>
        <w:t xml:space="preserve"> </w:t>
      </w:r>
      <w:r>
        <w:rPr>
          <w:rFonts w:eastAsia="宋体"/>
          <w:lang w:val="en-US" w:eastAsia="zh-CN"/>
        </w:rPr>
        <w:t>Harmonized Standard covering the essential requirements</w:t>
      </w:r>
      <w:r>
        <w:rPr>
          <w:rFonts w:hint="eastAsia" w:eastAsia="宋体"/>
          <w:lang w:val="en-US" w:eastAsia="zh-CN"/>
        </w:rPr>
        <w:t xml:space="preserve"> </w:t>
      </w:r>
      <w:r>
        <w:rPr>
          <w:rFonts w:eastAsia="宋体"/>
          <w:lang w:val="en-US" w:eastAsia="zh-CN"/>
        </w:rPr>
        <w:t>of article 3.2 of Directive 2014/53/EU V2.1.1 (2017-05</w:t>
      </w:r>
      <w:r>
        <w:rPr>
          <w:rFonts w:hint="eastAsia" w:eastAsia="宋体"/>
          <w:lang w:val="en-US" w:eastAsia="zh-CN"/>
        </w:rPr>
        <w:t>)</w:t>
      </w:r>
    </w:p>
    <w:p>
      <w:pPr>
        <w:widowControl w:val="0"/>
        <w:numPr>
          <w:ilvl w:val="0"/>
          <w:numId w:val="16"/>
        </w:numPr>
        <w:autoSpaceDE w:val="0"/>
        <w:autoSpaceDN w:val="0"/>
        <w:adjustRightInd w:val="0"/>
        <w:spacing w:before="60" w:after="60" w:line="240" w:lineRule="auto"/>
        <w:jc w:val="both"/>
        <w:rPr>
          <w:rFonts w:eastAsia="宋体"/>
          <w:lang w:val="en-US" w:eastAsia="zh-CN"/>
        </w:rPr>
      </w:pPr>
      <w:r>
        <w:rPr>
          <w:rFonts w:eastAsia="宋体"/>
          <w:lang w:val="en-US" w:eastAsia="zh-CN"/>
        </w:rPr>
        <w:t>3GPP TS 36.213, Physical layer procedures, V14.5.0, 2017-12</w:t>
      </w:r>
    </w:p>
    <w:p>
      <w:pPr>
        <w:widowControl w:val="0"/>
        <w:numPr>
          <w:ilvl w:val="0"/>
          <w:numId w:val="16"/>
        </w:numPr>
        <w:autoSpaceDE w:val="0"/>
        <w:autoSpaceDN w:val="0"/>
        <w:adjustRightInd w:val="0"/>
        <w:spacing w:before="60" w:after="60" w:line="240" w:lineRule="auto"/>
        <w:jc w:val="both"/>
        <w:rPr>
          <w:rFonts w:hint="eastAsia" w:eastAsia="宋体"/>
          <w:lang w:val="en-US" w:eastAsia="zh-CN"/>
        </w:rPr>
      </w:pPr>
      <w:r>
        <w:rPr>
          <w:rFonts w:eastAsia="宋体"/>
          <w:lang w:val="en-US" w:eastAsia="zh-CN"/>
        </w:rPr>
        <w:t>3GPP, R1-1812194</w:t>
      </w:r>
      <w:r>
        <w:rPr>
          <w:rFonts w:hint="eastAsia" w:eastAsia="宋体"/>
          <w:lang w:val="en-US" w:eastAsia="zh-CN"/>
        </w:rPr>
        <w:t xml:space="preserve">, Coexistence and channel access for NR unlicensed band operations, Huawei, HiSilicon, </w:t>
      </w:r>
      <w:r>
        <w:rPr>
          <w:rFonts w:eastAsia="宋体"/>
          <w:lang w:val="en-US" w:eastAsia="zh-CN"/>
        </w:rPr>
        <w:t xml:space="preserve">RAN1#95, </w:t>
      </w:r>
      <w:r>
        <w:rPr>
          <w:rFonts w:hint="eastAsia" w:eastAsia="宋体"/>
          <w:lang w:val="en-US" w:eastAsia="zh-CN"/>
        </w:rPr>
        <w:t>November, 2018</w:t>
      </w:r>
    </w:p>
    <w:p>
      <w:pPr>
        <w:widowControl w:val="0"/>
        <w:numPr>
          <w:ilvl w:val="0"/>
          <w:numId w:val="16"/>
        </w:numPr>
        <w:autoSpaceDE w:val="0"/>
        <w:autoSpaceDN w:val="0"/>
        <w:adjustRightInd w:val="0"/>
        <w:spacing w:before="60" w:after="60" w:line="240" w:lineRule="auto"/>
        <w:jc w:val="both"/>
        <w:rPr>
          <w:rFonts w:hint="eastAsia" w:eastAsia="宋体"/>
          <w:lang w:val="en-US" w:eastAsia="zh-CN"/>
        </w:rPr>
      </w:pPr>
      <w:r>
        <w:rPr>
          <w:rFonts w:eastAsia="宋体"/>
          <w:lang w:val="en-US" w:eastAsia="zh-CN"/>
        </w:rPr>
        <w:t>3GPP, R1-1813413</w:t>
      </w:r>
      <w:r>
        <w:rPr>
          <w:rFonts w:hint="eastAsia" w:eastAsia="宋体"/>
          <w:lang w:val="en-US" w:eastAsia="zh-CN"/>
        </w:rPr>
        <w:t xml:space="preserve">, Channel access procedures for NR unlicensed, Qualcomm, </w:t>
      </w:r>
      <w:r>
        <w:rPr>
          <w:rFonts w:eastAsia="宋体"/>
          <w:lang w:val="en-US" w:eastAsia="zh-CN"/>
        </w:rPr>
        <w:t xml:space="preserve">RAN1#95, </w:t>
      </w:r>
      <w:r>
        <w:rPr>
          <w:rFonts w:hint="eastAsia" w:eastAsia="宋体"/>
          <w:lang w:val="en-US" w:eastAsia="zh-CN"/>
        </w:rPr>
        <w:t>Nov</w:t>
      </w:r>
      <w:r>
        <w:rPr>
          <w:rFonts w:eastAsia="宋体"/>
          <w:lang w:val="en-US" w:eastAsia="zh-CN"/>
        </w:rPr>
        <w:t>ember</w:t>
      </w:r>
      <w:r>
        <w:rPr>
          <w:rFonts w:hint="eastAsia" w:eastAsia="宋体"/>
          <w:lang w:val="en-US" w:eastAsia="zh-CN"/>
        </w:rPr>
        <w:t>, 2018</w:t>
      </w:r>
    </w:p>
    <w:bookmarkEnd w:id="0"/>
    <w:p>
      <w:pPr>
        <w:widowControl w:val="0"/>
        <w:numPr>
          <w:ilvl w:val="-1"/>
          <w:numId w:val="0"/>
        </w:numPr>
        <w:autoSpaceDE w:val="0"/>
        <w:autoSpaceDN w:val="0"/>
        <w:adjustRightInd w:val="0"/>
        <w:spacing w:before="60" w:after="60" w:line="240" w:lineRule="auto"/>
        <w:ind w:left="0" w:firstLine="0"/>
        <w:jc w:val="both"/>
        <w:rPr>
          <w:rFonts w:eastAsia="宋体"/>
          <w:lang w:val="en-US" w:eastAsia="zh-CN"/>
        </w:rPr>
      </w:pPr>
    </w:p>
    <w:p>
      <w:pPr>
        <w:widowControl w:val="0"/>
        <w:autoSpaceDE w:val="0"/>
        <w:autoSpaceDN w:val="0"/>
        <w:adjustRightInd w:val="0"/>
        <w:spacing w:before="120" w:after="120" w:line="240" w:lineRule="auto"/>
        <w:jc w:val="both"/>
        <w:rPr>
          <w:rFonts w:eastAsia="宋体"/>
          <w:lang w:eastAsia="zh-CN"/>
        </w:rPr>
      </w:pPr>
    </w:p>
    <w:p>
      <w:pPr>
        <w:widowControl w:val="0"/>
        <w:numPr>
          <w:ilvl w:val="0"/>
          <w:numId w:val="0"/>
        </w:numPr>
        <w:autoSpaceDE w:val="0"/>
        <w:autoSpaceDN w:val="0"/>
        <w:adjustRightInd w:val="0"/>
        <w:spacing w:before="60" w:after="60" w:line="240" w:lineRule="auto"/>
        <w:jc w:val="both"/>
        <w:rPr>
          <w:rFonts w:hint="eastAsia"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5</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4B9BBB"/>
    <w:multiLevelType w:val="singleLevel"/>
    <w:tmpl w:val="D84B9BBB"/>
    <w:lvl w:ilvl="0" w:tentative="0">
      <w:start w:val="1"/>
      <w:numFmt w:val="bullet"/>
      <w:lvlText w:val=""/>
      <w:lvlJc w:val="left"/>
      <w:pPr>
        <w:ind w:left="420" w:hanging="420"/>
      </w:pPr>
      <w:rPr>
        <w:rFonts w:hint="default" w:ascii="Wingdings" w:hAnsi="Wingdings"/>
      </w:rPr>
    </w:lvl>
  </w:abstractNum>
  <w:abstractNum w:abstractNumId="1">
    <w:nsid w:val="006F42C7"/>
    <w:multiLevelType w:val="multilevel"/>
    <w:tmpl w:val="006F42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D6B4EB9"/>
    <w:multiLevelType w:val="multilevel"/>
    <w:tmpl w:val="1D6B4E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981B8A2"/>
    <w:multiLevelType w:val="multilevel"/>
    <w:tmpl w:val="4981B8A2"/>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4A0C60D4"/>
    <w:multiLevelType w:val="multilevel"/>
    <w:tmpl w:val="4A0C60D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1">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5AEFF9DC"/>
    <w:multiLevelType w:val="singleLevel"/>
    <w:tmpl w:val="5AEFF9DC"/>
    <w:lvl w:ilvl="0" w:tentative="0">
      <w:start w:val="1"/>
      <w:numFmt w:val="bullet"/>
      <w:lvlText w:val=""/>
      <w:lvlJc w:val="left"/>
      <w:pPr>
        <w:ind w:left="420" w:hanging="420"/>
      </w:pPr>
      <w:rPr>
        <w:rFonts w:hint="default" w:ascii="Wingdings" w:hAnsi="Wingdings"/>
      </w:rPr>
    </w:lvl>
  </w:abstractNum>
  <w:abstractNum w:abstractNumId="13">
    <w:nsid w:val="5CF31FFE"/>
    <w:multiLevelType w:val="multilevel"/>
    <w:tmpl w:val="5CF31F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0"/>
  </w:num>
  <w:num w:numId="3">
    <w:abstractNumId w:val="14"/>
  </w:num>
  <w:num w:numId="4">
    <w:abstractNumId w:val="15"/>
  </w:num>
  <w:num w:numId="5">
    <w:abstractNumId w:val="6"/>
  </w:num>
  <w:num w:numId="6">
    <w:abstractNumId w:val="11"/>
  </w:num>
  <w:num w:numId="7">
    <w:abstractNumId w:val="7"/>
  </w:num>
  <w:num w:numId="8">
    <w:abstractNumId w:val="3"/>
  </w:num>
  <w:num w:numId="9">
    <w:abstractNumId w:val="9"/>
  </w:num>
  <w:num w:numId="10">
    <w:abstractNumId w:val="1"/>
  </w:num>
  <w:num w:numId="11">
    <w:abstractNumId w:val="5"/>
  </w:num>
  <w:num w:numId="12">
    <w:abstractNumId w:val="13"/>
  </w:num>
  <w:num w:numId="13">
    <w:abstractNumId w:val="0"/>
  </w:num>
  <w:num w:numId="14">
    <w:abstractNumId w:val="8"/>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26A27"/>
    <w:rsid w:val="01275A84"/>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A214A"/>
    <w:rsid w:val="01A16B04"/>
    <w:rsid w:val="01A43B5C"/>
    <w:rsid w:val="01AF097B"/>
    <w:rsid w:val="01C326DA"/>
    <w:rsid w:val="01CD6175"/>
    <w:rsid w:val="01CF6472"/>
    <w:rsid w:val="01D7237F"/>
    <w:rsid w:val="01E90EAA"/>
    <w:rsid w:val="01F0730D"/>
    <w:rsid w:val="01F37778"/>
    <w:rsid w:val="01FC6829"/>
    <w:rsid w:val="02052204"/>
    <w:rsid w:val="0218641B"/>
    <w:rsid w:val="023D68E9"/>
    <w:rsid w:val="025B6E07"/>
    <w:rsid w:val="02622CBC"/>
    <w:rsid w:val="027A1CC7"/>
    <w:rsid w:val="02821AE1"/>
    <w:rsid w:val="0282269B"/>
    <w:rsid w:val="02837FA5"/>
    <w:rsid w:val="028438E6"/>
    <w:rsid w:val="028F7F84"/>
    <w:rsid w:val="029415F5"/>
    <w:rsid w:val="02A078F6"/>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D3FE2"/>
    <w:rsid w:val="04210D8C"/>
    <w:rsid w:val="04364A60"/>
    <w:rsid w:val="043815C4"/>
    <w:rsid w:val="043B501A"/>
    <w:rsid w:val="04586E3A"/>
    <w:rsid w:val="046861DC"/>
    <w:rsid w:val="04735957"/>
    <w:rsid w:val="048869A8"/>
    <w:rsid w:val="048F68A9"/>
    <w:rsid w:val="04B14C72"/>
    <w:rsid w:val="04C06E5C"/>
    <w:rsid w:val="04D12DFB"/>
    <w:rsid w:val="04E12B8C"/>
    <w:rsid w:val="04EB52D7"/>
    <w:rsid w:val="04EF4836"/>
    <w:rsid w:val="04F06D1D"/>
    <w:rsid w:val="04F10E3F"/>
    <w:rsid w:val="050113F8"/>
    <w:rsid w:val="052D6178"/>
    <w:rsid w:val="05382A12"/>
    <w:rsid w:val="053A645E"/>
    <w:rsid w:val="055A0EFA"/>
    <w:rsid w:val="055A269C"/>
    <w:rsid w:val="056C08F8"/>
    <w:rsid w:val="05721CA8"/>
    <w:rsid w:val="05841830"/>
    <w:rsid w:val="05876734"/>
    <w:rsid w:val="058843A5"/>
    <w:rsid w:val="05980A73"/>
    <w:rsid w:val="059D34CA"/>
    <w:rsid w:val="05B92FBE"/>
    <w:rsid w:val="05D94EBE"/>
    <w:rsid w:val="05DE4683"/>
    <w:rsid w:val="05DF3F1B"/>
    <w:rsid w:val="05E95F0A"/>
    <w:rsid w:val="05EA4E24"/>
    <w:rsid w:val="05ED35B8"/>
    <w:rsid w:val="05F074A4"/>
    <w:rsid w:val="060D5AA5"/>
    <w:rsid w:val="061A06CE"/>
    <w:rsid w:val="06261750"/>
    <w:rsid w:val="06276042"/>
    <w:rsid w:val="06340A05"/>
    <w:rsid w:val="063B1FB2"/>
    <w:rsid w:val="063D7168"/>
    <w:rsid w:val="06485014"/>
    <w:rsid w:val="067A3DAD"/>
    <w:rsid w:val="0686332F"/>
    <w:rsid w:val="06A43D59"/>
    <w:rsid w:val="06C1240E"/>
    <w:rsid w:val="06C46BF4"/>
    <w:rsid w:val="06CB725E"/>
    <w:rsid w:val="06E1290F"/>
    <w:rsid w:val="06F76AE6"/>
    <w:rsid w:val="07015EFA"/>
    <w:rsid w:val="0707006E"/>
    <w:rsid w:val="070B2CE3"/>
    <w:rsid w:val="072922C5"/>
    <w:rsid w:val="072F6CF4"/>
    <w:rsid w:val="0734615D"/>
    <w:rsid w:val="0735734E"/>
    <w:rsid w:val="07386D83"/>
    <w:rsid w:val="073B19BC"/>
    <w:rsid w:val="074A4044"/>
    <w:rsid w:val="07826DCD"/>
    <w:rsid w:val="07871DCC"/>
    <w:rsid w:val="078B07F9"/>
    <w:rsid w:val="078E4F4B"/>
    <w:rsid w:val="079F3045"/>
    <w:rsid w:val="07AC7E7C"/>
    <w:rsid w:val="07B34910"/>
    <w:rsid w:val="07BB7897"/>
    <w:rsid w:val="07CE47C1"/>
    <w:rsid w:val="07D62B24"/>
    <w:rsid w:val="08337F1B"/>
    <w:rsid w:val="083B21D6"/>
    <w:rsid w:val="084745D0"/>
    <w:rsid w:val="08476D2A"/>
    <w:rsid w:val="084A42E3"/>
    <w:rsid w:val="084D185F"/>
    <w:rsid w:val="084E1A17"/>
    <w:rsid w:val="0862758A"/>
    <w:rsid w:val="086A574E"/>
    <w:rsid w:val="08792428"/>
    <w:rsid w:val="087945D7"/>
    <w:rsid w:val="087E66D2"/>
    <w:rsid w:val="08807319"/>
    <w:rsid w:val="088E6842"/>
    <w:rsid w:val="08B20EA3"/>
    <w:rsid w:val="08B574EC"/>
    <w:rsid w:val="08C447CA"/>
    <w:rsid w:val="08E279FE"/>
    <w:rsid w:val="08E539A8"/>
    <w:rsid w:val="08FF3E43"/>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5356A"/>
    <w:rsid w:val="09F756A5"/>
    <w:rsid w:val="09FB5032"/>
    <w:rsid w:val="0A007FB9"/>
    <w:rsid w:val="0A0248E2"/>
    <w:rsid w:val="0A197D7E"/>
    <w:rsid w:val="0A260017"/>
    <w:rsid w:val="0A350A2E"/>
    <w:rsid w:val="0A613380"/>
    <w:rsid w:val="0A68565C"/>
    <w:rsid w:val="0A750E8A"/>
    <w:rsid w:val="0A7C07DD"/>
    <w:rsid w:val="0A7D67BF"/>
    <w:rsid w:val="0A860C80"/>
    <w:rsid w:val="0A8D2821"/>
    <w:rsid w:val="0AAC726A"/>
    <w:rsid w:val="0ABB44F9"/>
    <w:rsid w:val="0AC139E2"/>
    <w:rsid w:val="0AC716D4"/>
    <w:rsid w:val="0ADD2D69"/>
    <w:rsid w:val="0ADF132F"/>
    <w:rsid w:val="0AE21A7A"/>
    <w:rsid w:val="0AEA5FE2"/>
    <w:rsid w:val="0AF456BE"/>
    <w:rsid w:val="0AFF24CE"/>
    <w:rsid w:val="0B1543BB"/>
    <w:rsid w:val="0B257548"/>
    <w:rsid w:val="0B2920B8"/>
    <w:rsid w:val="0B420FE1"/>
    <w:rsid w:val="0B4C3E35"/>
    <w:rsid w:val="0B4E0560"/>
    <w:rsid w:val="0B5431C9"/>
    <w:rsid w:val="0B5C20A7"/>
    <w:rsid w:val="0B6426D9"/>
    <w:rsid w:val="0B66128E"/>
    <w:rsid w:val="0B6C3AAF"/>
    <w:rsid w:val="0B7C3C97"/>
    <w:rsid w:val="0B851AE2"/>
    <w:rsid w:val="0B995225"/>
    <w:rsid w:val="0BA077C8"/>
    <w:rsid w:val="0BB55819"/>
    <w:rsid w:val="0BC43EFA"/>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753611"/>
    <w:rsid w:val="0C8328A9"/>
    <w:rsid w:val="0C8F5033"/>
    <w:rsid w:val="0C923DBE"/>
    <w:rsid w:val="0C92626A"/>
    <w:rsid w:val="0C992FB8"/>
    <w:rsid w:val="0CA06B2F"/>
    <w:rsid w:val="0CA5215C"/>
    <w:rsid w:val="0CAC621A"/>
    <w:rsid w:val="0CB1691B"/>
    <w:rsid w:val="0CB23D75"/>
    <w:rsid w:val="0CCF6077"/>
    <w:rsid w:val="0CE01ED0"/>
    <w:rsid w:val="0CEA4514"/>
    <w:rsid w:val="0CED5790"/>
    <w:rsid w:val="0D02400E"/>
    <w:rsid w:val="0D0C6566"/>
    <w:rsid w:val="0D1E5FB2"/>
    <w:rsid w:val="0D204BC7"/>
    <w:rsid w:val="0D232014"/>
    <w:rsid w:val="0D276A0D"/>
    <w:rsid w:val="0D2B3E5D"/>
    <w:rsid w:val="0D4C56D2"/>
    <w:rsid w:val="0D834A5C"/>
    <w:rsid w:val="0D893EB2"/>
    <w:rsid w:val="0D9C16DD"/>
    <w:rsid w:val="0DBF562F"/>
    <w:rsid w:val="0DD400A1"/>
    <w:rsid w:val="0DD520DE"/>
    <w:rsid w:val="0DDC03D6"/>
    <w:rsid w:val="0DE53E77"/>
    <w:rsid w:val="0DFA76E6"/>
    <w:rsid w:val="0DFC649B"/>
    <w:rsid w:val="0E052000"/>
    <w:rsid w:val="0E075E25"/>
    <w:rsid w:val="0E1A5799"/>
    <w:rsid w:val="0E1A59BE"/>
    <w:rsid w:val="0E1B6184"/>
    <w:rsid w:val="0E1B77B3"/>
    <w:rsid w:val="0E1C0F16"/>
    <w:rsid w:val="0E2735BC"/>
    <w:rsid w:val="0E3640EF"/>
    <w:rsid w:val="0E4F1CE0"/>
    <w:rsid w:val="0E4F5252"/>
    <w:rsid w:val="0E572C3E"/>
    <w:rsid w:val="0E8271E6"/>
    <w:rsid w:val="0E887123"/>
    <w:rsid w:val="0E8B4D0B"/>
    <w:rsid w:val="0EAB594D"/>
    <w:rsid w:val="0EBD6AC8"/>
    <w:rsid w:val="0EC854C4"/>
    <w:rsid w:val="0ECC4D2D"/>
    <w:rsid w:val="0ED95C8A"/>
    <w:rsid w:val="0EF80EE4"/>
    <w:rsid w:val="0EFF773D"/>
    <w:rsid w:val="0F0D12D4"/>
    <w:rsid w:val="0F0F3003"/>
    <w:rsid w:val="0F1108EC"/>
    <w:rsid w:val="0F226CC5"/>
    <w:rsid w:val="0F2D4EDE"/>
    <w:rsid w:val="0F340285"/>
    <w:rsid w:val="0F502B54"/>
    <w:rsid w:val="0F6013A0"/>
    <w:rsid w:val="0F8D0B4E"/>
    <w:rsid w:val="0F8F102F"/>
    <w:rsid w:val="0FA470F8"/>
    <w:rsid w:val="0FB5088D"/>
    <w:rsid w:val="0FBF3418"/>
    <w:rsid w:val="0FC46A56"/>
    <w:rsid w:val="0FC57BB8"/>
    <w:rsid w:val="0FD6188A"/>
    <w:rsid w:val="0FEC5D00"/>
    <w:rsid w:val="0FF575F8"/>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A3386B"/>
    <w:rsid w:val="11AF7FCE"/>
    <w:rsid w:val="11BB4CD7"/>
    <w:rsid w:val="11C23717"/>
    <w:rsid w:val="11C43249"/>
    <w:rsid w:val="11DA3226"/>
    <w:rsid w:val="11DA7C8F"/>
    <w:rsid w:val="11DD2374"/>
    <w:rsid w:val="11EA5AEE"/>
    <w:rsid w:val="11EC3740"/>
    <w:rsid w:val="12047298"/>
    <w:rsid w:val="121220D8"/>
    <w:rsid w:val="1215211F"/>
    <w:rsid w:val="12172F68"/>
    <w:rsid w:val="121B6C13"/>
    <w:rsid w:val="12203257"/>
    <w:rsid w:val="122320E5"/>
    <w:rsid w:val="12337389"/>
    <w:rsid w:val="12371DF9"/>
    <w:rsid w:val="124D1B03"/>
    <w:rsid w:val="12504C31"/>
    <w:rsid w:val="12516E7E"/>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6F49A1"/>
    <w:rsid w:val="13783516"/>
    <w:rsid w:val="137C2658"/>
    <w:rsid w:val="137E142A"/>
    <w:rsid w:val="13824BD3"/>
    <w:rsid w:val="138A039A"/>
    <w:rsid w:val="139532E4"/>
    <w:rsid w:val="13A30FC3"/>
    <w:rsid w:val="13A90461"/>
    <w:rsid w:val="13BF1D88"/>
    <w:rsid w:val="13EB3632"/>
    <w:rsid w:val="14237882"/>
    <w:rsid w:val="143E1552"/>
    <w:rsid w:val="143F6AFF"/>
    <w:rsid w:val="146B0173"/>
    <w:rsid w:val="14870828"/>
    <w:rsid w:val="14920E25"/>
    <w:rsid w:val="1498573C"/>
    <w:rsid w:val="14991CB0"/>
    <w:rsid w:val="14A1759C"/>
    <w:rsid w:val="14B204D7"/>
    <w:rsid w:val="14B75A7E"/>
    <w:rsid w:val="14C155EF"/>
    <w:rsid w:val="14C82B34"/>
    <w:rsid w:val="14EA76A8"/>
    <w:rsid w:val="14EB34AC"/>
    <w:rsid w:val="14EB6105"/>
    <w:rsid w:val="14F2308B"/>
    <w:rsid w:val="14FD6BC6"/>
    <w:rsid w:val="153C511F"/>
    <w:rsid w:val="155F58CA"/>
    <w:rsid w:val="1560619C"/>
    <w:rsid w:val="15700B17"/>
    <w:rsid w:val="1584685F"/>
    <w:rsid w:val="158570C9"/>
    <w:rsid w:val="1592090C"/>
    <w:rsid w:val="159B4CCA"/>
    <w:rsid w:val="15A46E63"/>
    <w:rsid w:val="15A52865"/>
    <w:rsid w:val="15AB3CC0"/>
    <w:rsid w:val="15C562E2"/>
    <w:rsid w:val="15D03364"/>
    <w:rsid w:val="15DF61C4"/>
    <w:rsid w:val="15F62CC1"/>
    <w:rsid w:val="15F725BC"/>
    <w:rsid w:val="15FA7C65"/>
    <w:rsid w:val="16081ED8"/>
    <w:rsid w:val="16095AFF"/>
    <w:rsid w:val="160A5000"/>
    <w:rsid w:val="161E428D"/>
    <w:rsid w:val="16270C37"/>
    <w:rsid w:val="162B3FD9"/>
    <w:rsid w:val="163539B0"/>
    <w:rsid w:val="163A4FD7"/>
    <w:rsid w:val="165243D6"/>
    <w:rsid w:val="1654399A"/>
    <w:rsid w:val="1670292F"/>
    <w:rsid w:val="16876F47"/>
    <w:rsid w:val="16893317"/>
    <w:rsid w:val="16A8222F"/>
    <w:rsid w:val="16B70F95"/>
    <w:rsid w:val="16DE10C7"/>
    <w:rsid w:val="16E353AF"/>
    <w:rsid w:val="16EE785C"/>
    <w:rsid w:val="17005BF2"/>
    <w:rsid w:val="17150DAB"/>
    <w:rsid w:val="172A6B63"/>
    <w:rsid w:val="17313BED"/>
    <w:rsid w:val="17480164"/>
    <w:rsid w:val="174B5EF9"/>
    <w:rsid w:val="174E4C34"/>
    <w:rsid w:val="175079B9"/>
    <w:rsid w:val="17543A7F"/>
    <w:rsid w:val="1758341D"/>
    <w:rsid w:val="1768007F"/>
    <w:rsid w:val="1798692F"/>
    <w:rsid w:val="17A6334D"/>
    <w:rsid w:val="17AE317B"/>
    <w:rsid w:val="17CD6181"/>
    <w:rsid w:val="17DE72B7"/>
    <w:rsid w:val="17E20D1C"/>
    <w:rsid w:val="18321DF7"/>
    <w:rsid w:val="184173E8"/>
    <w:rsid w:val="185826DA"/>
    <w:rsid w:val="18611EA0"/>
    <w:rsid w:val="18653077"/>
    <w:rsid w:val="186E2B2D"/>
    <w:rsid w:val="187619E6"/>
    <w:rsid w:val="187E5D26"/>
    <w:rsid w:val="1894179F"/>
    <w:rsid w:val="18A116BD"/>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2787B"/>
    <w:rsid w:val="1B8357F2"/>
    <w:rsid w:val="1B8D4B2E"/>
    <w:rsid w:val="1B903EE2"/>
    <w:rsid w:val="1BA0668A"/>
    <w:rsid w:val="1BBC1049"/>
    <w:rsid w:val="1BC67D9A"/>
    <w:rsid w:val="1BDA50E3"/>
    <w:rsid w:val="1BE2301B"/>
    <w:rsid w:val="1BF867C3"/>
    <w:rsid w:val="1C04440C"/>
    <w:rsid w:val="1C101482"/>
    <w:rsid w:val="1C263616"/>
    <w:rsid w:val="1C2F45BE"/>
    <w:rsid w:val="1C316715"/>
    <w:rsid w:val="1C377675"/>
    <w:rsid w:val="1C3D50A3"/>
    <w:rsid w:val="1C757F7F"/>
    <w:rsid w:val="1C787286"/>
    <w:rsid w:val="1C7D7EB8"/>
    <w:rsid w:val="1C924399"/>
    <w:rsid w:val="1C9A5EA0"/>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A2040C"/>
    <w:rsid w:val="1DA533ED"/>
    <w:rsid w:val="1DA83214"/>
    <w:rsid w:val="1DB65020"/>
    <w:rsid w:val="1DC41BB0"/>
    <w:rsid w:val="1DC65AF6"/>
    <w:rsid w:val="1E042D27"/>
    <w:rsid w:val="1E0E23C8"/>
    <w:rsid w:val="1E365099"/>
    <w:rsid w:val="1E3C35CE"/>
    <w:rsid w:val="1E4E7A0E"/>
    <w:rsid w:val="1E4F1888"/>
    <w:rsid w:val="1E742DF8"/>
    <w:rsid w:val="1E750074"/>
    <w:rsid w:val="1E7D153B"/>
    <w:rsid w:val="1E9F341B"/>
    <w:rsid w:val="1EA42A59"/>
    <w:rsid w:val="1EA569F7"/>
    <w:rsid w:val="1EAC5F6A"/>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C3C4E"/>
    <w:rsid w:val="1F690D21"/>
    <w:rsid w:val="1F7B76BF"/>
    <w:rsid w:val="1F7C26CB"/>
    <w:rsid w:val="1F7F7D85"/>
    <w:rsid w:val="1F885D57"/>
    <w:rsid w:val="1FA27229"/>
    <w:rsid w:val="1FA6339C"/>
    <w:rsid w:val="1FB11014"/>
    <w:rsid w:val="1FBC79E0"/>
    <w:rsid w:val="1FC74197"/>
    <w:rsid w:val="1FD479BA"/>
    <w:rsid w:val="1FD55230"/>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34C03"/>
    <w:rsid w:val="2097534B"/>
    <w:rsid w:val="20992CFD"/>
    <w:rsid w:val="20A443A7"/>
    <w:rsid w:val="20AC32E3"/>
    <w:rsid w:val="20B27C05"/>
    <w:rsid w:val="20CA4CDE"/>
    <w:rsid w:val="20EA32FE"/>
    <w:rsid w:val="20F17C8F"/>
    <w:rsid w:val="20FE3807"/>
    <w:rsid w:val="212B15F0"/>
    <w:rsid w:val="212D241D"/>
    <w:rsid w:val="21485CC6"/>
    <w:rsid w:val="215E0FE1"/>
    <w:rsid w:val="21704749"/>
    <w:rsid w:val="21882C92"/>
    <w:rsid w:val="218B5863"/>
    <w:rsid w:val="21963AE9"/>
    <w:rsid w:val="219926C2"/>
    <w:rsid w:val="21B92386"/>
    <w:rsid w:val="21CC6790"/>
    <w:rsid w:val="21CD469C"/>
    <w:rsid w:val="21D33ED7"/>
    <w:rsid w:val="21D71CCE"/>
    <w:rsid w:val="21E7264A"/>
    <w:rsid w:val="21EC11B4"/>
    <w:rsid w:val="21F139D9"/>
    <w:rsid w:val="21F75252"/>
    <w:rsid w:val="21FC15A7"/>
    <w:rsid w:val="22243C81"/>
    <w:rsid w:val="223B79DE"/>
    <w:rsid w:val="223E4404"/>
    <w:rsid w:val="224B437A"/>
    <w:rsid w:val="224D0D69"/>
    <w:rsid w:val="22A91330"/>
    <w:rsid w:val="22B34785"/>
    <w:rsid w:val="22D04F77"/>
    <w:rsid w:val="22F149E7"/>
    <w:rsid w:val="23151BBD"/>
    <w:rsid w:val="232064A5"/>
    <w:rsid w:val="232A5F2C"/>
    <w:rsid w:val="234902A8"/>
    <w:rsid w:val="2352170F"/>
    <w:rsid w:val="23537622"/>
    <w:rsid w:val="236739BC"/>
    <w:rsid w:val="237E7F63"/>
    <w:rsid w:val="238718C4"/>
    <w:rsid w:val="23A60BED"/>
    <w:rsid w:val="23AF20CF"/>
    <w:rsid w:val="23BE0C34"/>
    <w:rsid w:val="23FE39DA"/>
    <w:rsid w:val="241B4EFA"/>
    <w:rsid w:val="2422724B"/>
    <w:rsid w:val="245B7134"/>
    <w:rsid w:val="246F1B15"/>
    <w:rsid w:val="2485277B"/>
    <w:rsid w:val="248F2AEF"/>
    <w:rsid w:val="2492033C"/>
    <w:rsid w:val="249D3DA9"/>
    <w:rsid w:val="24AD6B35"/>
    <w:rsid w:val="24D834E8"/>
    <w:rsid w:val="24EA2AB5"/>
    <w:rsid w:val="24FD2B02"/>
    <w:rsid w:val="25024CF1"/>
    <w:rsid w:val="25112921"/>
    <w:rsid w:val="25153A7B"/>
    <w:rsid w:val="251B7C63"/>
    <w:rsid w:val="252F41B5"/>
    <w:rsid w:val="253E482D"/>
    <w:rsid w:val="25415276"/>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3142D4"/>
    <w:rsid w:val="26447916"/>
    <w:rsid w:val="265E0639"/>
    <w:rsid w:val="26696824"/>
    <w:rsid w:val="266C42F7"/>
    <w:rsid w:val="267109C3"/>
    <w:rsid w:val="267365C7"/>
    <w:rsid w:val="268A5924"/>
    <w:rsid w:val="26972C43"/>
    <w:rsid w:val="26CB7903"/>
    <w:rsid w:val="26D771E7"/>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9813BC"/>
    <w:rsid w:val="28A742C0"/>
    <w:rsid w:val="28B16BAC"/>
    <w:rsid w:val="28B222C6"/>
    <w:rsid w:val="28BC08CE"/>
    <w:rsid w:val="28CF2CCD"/>
    <w:rsid w:val="28D334D0"/>
    <w:rsid w:val="28D701CA"/>
    <w:rsid w:val="28EB5815"/>
    <w:rsid w:val="28FA5BE1"/>
    <w:rsid w:val="290B3ADD"/>
    <w:rsid w:val="29242AD0"/>
    <w:rsid w:val="29251C92"/>
    <w:rsid w:val="29415D74"/>
    <w:rsid w:val="29421D49"/>
    <w:rsid w:val="2954117E"/>
    <w:rsid w:val="295B0F1F"/>
    <w:rsid w:val="295B72FD"/>
    <w:rsid w:val="296854E7"/>
    <w:rsid w:val="29703F71"/>
    <w:rsid w:val="29705FD0"/>
    <w:rsid w:val="297A51BC"/>
    <w:rsid w:val="299D603F"/>
    <w:rsid w:val="29A9096D"/>
    <w:rsid w:val="29F31B60"/>
    <w:rsid w:val="29FD3CFC"/>
    <w:rsid w:val="29FF2DEE"/>
    <w:rsid w:val="2A010675"/>
    <w:rsid w:val="2A0555DF"/>
    <w:rsid w:val="2A074829"/>
    <w:rsid w:val="2A203DF6"/>
    <w:rsid w:val="2A3D2220"/>
    <w:rsid w:val="2A460ABD"/>
    <w:rsid w:val="2A6625BB"/>
    <w:rsid w:val="2A6F665D"/>
    <w:rsid w:val="2AA71F23"/>
    <w:rsid w:val="2AA824F5"/>
    <w:rsid w:val="2AB17574"/>
    <w:rsid w:val="2AB87157"/>
    <w:rsid w:val="2ABA6525"/>
    <w:rsid w:val="2ACD11D1"/>
    <w:rsid w:val="2AD35375"/>
    <w:rsid w:val="2AE62A58"/>
    <w:rsid w:val="2AF81ECB"/>
    <w:rsid w:val="2AF87E90"/>
    <w:rsid w:val="2AFF1DEE"/>
    <w:rsid w:val="2B0C1692"/>
    <w:rsid w:val="2B0E023E"/>
    <w:rsid w:val="2B181E15"/>
    <w:rsid w:val="2B1D5E9C"/>
    <w:rsid w:val="2B1F7E02"/>
    <w:rsid w:val="2B275FA7"/>
    <w:rsid w:val="2B34404C"/>
    <w:rsid w:val="2B503BE9"/>
    <w:rsid w:val="2B5D4286"/>
    <w:rsid w:val="2B6241D0"/>
    <w:rsid w:val="2B6635C4"/>
    <w:rsid w:val="2B7327A0"/>
    <w:rsid w:val="2B7B3555"/>
    <w:rsid w:val="2B985EDD"/>
    <w:rsid w:val="2BA63509"/>
    <w:rsid w:val="2BBC1803"/>
    <w:rsid w:val="2BC37AF5"/>
    <w:rsid w:val="2BCA2615"/>
    <w:rsid w:val="2BCD5BB3"/>
    <w:rsid w:val="2BCE12ED"/>
    <w:rsid w:val="2BCE5522"/>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D7757"/>
    <w:rsid w:val="2CC44E07"/>
    <w:rsid w:val="2CC569CB"/>
    <w:rsid w:val="2CC74803"/>
    <w:rsid w:val="2CCE1CF6"/>
    <w:rsid w:val="2CEB5CD0"/>
    <w:rsid w:val="2D2E00AD"/>
    <w:rsid w:val="2D317FAA"/>
    <w:rsid w:val="2D4C0E52"/>
    <w:rsid w:val="2D4C5395"/>
    <w:rsid w:val="2D5809C0"/>
    <w:rsid w:val="2D623805"/>
    <w:rsid w:val="2D6D3CA2"/>
    <w:rsid w:val="2D781D43"/>
    <w:rsid w:val="2D7D7121"/>
    <w:rsid w:val="2D854A69"/>
    <w:rsid w:val="2DA74F81"/>
    <w:rsid w:val="2DAB42E1"/>
    <w:rsid w:val="2DB26597"/>
    <w:rsid w:val="2DB5614E"/>
    <w:rsid w:val="2DCB194C"/>
    <w:rsid w:val="2DDF642E"/>
    <w:rsid w:val="2DE32A97"/>
    <w:rsid w:val="2DE7057C"/>
    <w:rsid w:val="2DF635D7"/>
    <w:rsid w:val="2E056DE4"/>
    <w:rsid w:val="2E0901D2"/>
    <w:rsid w:val="2E203718"/>
    <w:rsid w:val="2E234CF1"/>
    <w:rsid w:val="2E2746AE"/>
    <w:rsid w:val="2E2C6D07"/>
    <w:rsid w:val="2E2F6083"/>
    <w:rsid w:val="2E572CC0"/>
    <w:rsid w:val="2EB005F7"/>
    <w:rsid w:val="2EB14523"/>
    <w:rsid w:val="2EB5032D"/>
    <w:rsid w:val="2ED42187"/>
    <w:rsid w:val="2EDB1B05"/>
    <w:rsid w:val="2EDE6E27"/>
    <w:rsid w:val="2EE124DD"/>
    <w:rsid w:val="2EE70CD5"/>
    <w:rsid w:val="2EEF4A6B"/>
    <w:rsid w:val="2F0D112B"/>
    <w:rsid w:val="2F3A54E2"/>
    <w:rsid w:val="2F4F5EEC"/>
    <w:rsid w:val="2F525F81"/>
    <w:rsid w:val="2F6126A2"/>
    <w:rsid w:val="2F657E18"/>
    <w:rsid w:val="2F6F1349"/>
    <w:rsid w:val="2F7F3437"/>
    <w:rsid w:val="2F817DD0"/>
    <w:rsid w:val="2F825648"/>
    <w:rsid w:val="2F8B1796"/>
    <w:rsid w:val="2F9B657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C47F8"/>
    <w:rsid w:val="30F00D6B"/>
    <w:rsid w:val="30F91599"/>
    <w:rsid w:val="30FD18B7"/>
    <w:rsid w:val="31073C5C"/>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6052C1"/>
    <w:rsid w:val="32644F9E"/>
    <w:rsid w:val="326B0BAF"/>
    <w:rsid w:val="32764D1D"/>
    <w:rsid w:val="32844B47"/>
    <w:rsid w:val="3288180B"/>
    <w:rsid w:val="32D23AA1"/>
    <w:rsid w:val="32E7237C"/>
    <w:rsid w:val="32FA4E00"/>
    <w:rsid w:val="33097FCB"/>
    <w:rsid w:val="330F07F9"/>
    <w:rsid w:val="331E1AA2"/>
    <w:rsid w:val="33236153"/>
    <w:rsid w:val="3325361E"/>
    <w:rsid w:val="332C6DB4"/>
    <w:rsid w:val="33407A22"/>
    <w:rsid w:val="3343097A"/>
    <w:rsid w:val="33684AED"/>
    <w:rsid w:val="33753B52"/>
    <w:rsid w:val="337E5775"/>
    <w:rsid w:val="33AF031D"/>
    <w:rsid w:val="33BC761E"/>
    <w:rsid w:val="33BF6CBC"/>
    <w:rsid w:val="33D2644C"/>
    <w:rsid w:val="33D81A4C"/>
    <w:rsid w:val="33FC5728"/>
    <w:rsid w:val="34086B9E"/>
    <w:rsid w:val="3424694F"/>
    <w:rsid w:val="342F6D32"/>
    <w:rsid w:val="34555684"/>
    <w:rsid w:val="34660FB4"/>
    <w:rsid w:val="346F196C"/>
    <w:rsid w:val="34921202"/>
    <w:rsid w:val="34A01296"/>
    <w:rsid w:val="34A72BC4"/>
    <w:rsid w:val="34AD636D"/>
    <w:rsid w:val="34D35AEF"/>
    <w:rsid w:val="34D37972"/>
    <w:rsid w:val="34D6123A"/>
    <w:rsid w:val="34F76022"/>
    <w:rsid w:val="35027278"/>
    <w:rsid w:val="35194A87"/>
    <w:rsid w:val="35441378"/>
    <w:rsid w:val="35533710"/>
    <w:rsid w:val="35616185"/>
    <w:rsid w:val="357E1639"/>
    <w:rsid w:val="35A437E8"/>
    <w:rsid w:val="35AF1A13"/>
    <w:rsid w:val="35B64FD1"/>
    <w:rsid w:val="35CE48BF"/>
    <w:rsid w:val="35D3331D"/>
    <w:rsid w:val="35DF58BF"/>
    <w:rsid w:val="35E4076D"/>
    <w:rsid w:val="35E8647A"/>
    <w:rsid w:val="35F20EA6"/>
    <w:rsid w:val="35F36637"/>
    <w:rsid w:val="35F66BBA"/>
    <w:rsid w:val="36187E47"/>
    <w:rsid w:val="36216BEE"/>
    <w:rsid w:val="36285816"/>
    <w:rsid w:val="362A457F"/>
    <w:rsid w:val="362C2535"/>
    <w:rsid w:val="36471A5E"/>
    <w:rsid w:val="364931EB"/>
    <w:rsid w:val="3667341B"/>
    <w:rsid w:val="36751470"/>
    <w:rsid w:val="36887E64"/>
    <w:rsid w:val="368A2FB4"/>
    <w:rsid w:val="36961ED1"/>
    <w:rsid w:val="36A15210"/>
    <w:rsid w:val="36AB4006"/>
    <w:rsid w:val="36BA5016"/>
    <w:rsid w:val="36BE2266"/>
    <w:rsid w:val="36C02FF5"/>
    <w:rsid w:val="36C8525D"/>
    <w:rsid w:val="36CE2B8B"/>
    <w:rsid w:val="36DA5D27"/>
    <w:rsid w:val="36EE176D"/>
    <w:rsid w:val="37036FE3"/>
    <w:rsid w:val="370749B6"/>
    <w:rsid w:val="37100355"/>
    <w:rsid w:val="37113004"/>
    <w:rsid w:val="371F66C4"/>
    <w:rsid w:val="3723798B"/>
    <w:rsid w:val="3729092C"/>
    <w:rsid w:val="372A115D"/>
    <w:rsid w:val="372A6492"/>
    <w:rsid w:val="37342B76"/>
    <w:rsid w:val="373569A8"/>
    <w:rsid w:val="373A2E6A"/>
    <w:rsid w:val="37714675"/>
    <w:rsid w:val="377B1BC4"/>
    <w:rsid w:val="37866BB7"/>
    <w:rsid w:val="379151F3"/>
    <w:rsid w:val="3792524B"/>
    <w:rsid w:val="37940C52"/>
    <w:rsid w:val="37A30873"/>
    <w:rsid w:val="37A82E6A"/>
    <w:rsid w:val="37C04076"/>
    <w:rsid w:val="37CB48C8"/>
    <w:rsid w:val="37D42753"/>
    <w:rsid w:val="37EB7EF5"/>
    <w:rsid w:val="37FB0B3E"/>
    <w:rsid w:val="381B47D0"/>
    <w:rsid w:val="38274ABD"/>
    <w:rsid w:val="382D1422"/>
    <w:rsid w:val="382D2E19"/>
    <w:rsid w:val="383057ED"/>
    <w:rsid w:val="383651A6"/>
    <w:rsid w:val="384E6F01"/>
    <w:rsid w:val="385E3236"/>
    <w:rsid w:val="38766C47"/>
    <w:rsid w:val="3887059F"/>
    <w:rsid w:val="38880168"/>
    <w:rsid w:val="388F0D9F"/>
    <w:rsid w:val="38922097"/>
    <w:rsid w:val="38D233FA"/>
    <w:rsid w:val="38D43BCE"/>
    <w:rsid w:val="38D5234B"/>
    <w:rsid w:val="38D5710F"/>
    <w:rsid w:val="38EA64E4"/>
    <w:rsid w:val="391C4E68"/>
    <w:rsid w:val="39570EDE"/>
    <w:rsid w:val="39615265"/>
    <w:rsid w:val="39656815"/>
    <w:rsid w:val="397D6F73"/>
    <w:rsid w:val="39802ECC"/>
    <w:rsid w:val="39865E81"/>
    <w:rsid w:val="39926E4B"/>
    <w:rsid w:val="39944C4D"/>
    <w:rsid w:val="39AD28F1"/>
    <w:rsid w:val="39B02129"/>
    <w:rsid w:val="39B8558E"/>
    <w:rsid w:val="39E139DA"/>
    <w:rsid w:val="39FD1B1B"/>
    <w:rsid w:val="3A1320A7"/>
    <w:rsid w:val="3A1530F4"/>
    <w:rsid w:val="3A191CC0"/>
    <w:rsid w:val="3A1A3080"/>
    <w:rsid w:val="3A2B5CE1"/>
    <w:rsid w:val="3A2D2D36"/>
    <w:rsid w:val="3A542EE1"/>
    <w:rsid w:val="3A5C1538"/>
    <w:rsid w:val="3A761F09"/>
    <w:rsid w:val="3A8A0C83"/>
    <w:rsid w:val="3A904241"/>
    <w:rsid w:val="3A95462C"/>
    <w:rsid w:val="3AA3573F"/>
    <w:rsid w:val="3AB80274"/>
    <w:rsid w:val="3AD86362"/>
    <w:rsid w:val="3AE801A7"/>
    <w:rsid w:val="3AEE6745"/>
    <w:rsid w:val="3AF34940"/>
    <w:rsid w:val="3AF51000"/>
    <w:rsid w:val="3AF84B31"/>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F8706E"/>
    <w:rsid w:val="3BF94F40"/>
    <w:rsid w:val="3BFE0325"/>
    <w:rsid w:val="3C19096E"/>
    <w:rsid w:val="3C2E346D"/>
    <w:rsid w:val="3C300658"/>
    <w:rsid w:val="3C3B425B"/>
    <w:rsid w:val="3C482649"/>
    <w:rsid w:val="3C620A5E"/>
    <w:rsid w:val="3C6541EF"/>
    <w:rsid w:val="3C744B26"/>
    <w:rsid w:val="3C816E1B"/>
    <w:rsid w:val="3C831660"/>
    <w:rsid w:val="3CBC4692"/>
    <w:rsid w:val="3CDC4055"/>
    <w:rsid w:val="3CDD5498"/>
    <w:rsid w:val="3CEA0930"/>
    <w:rsid w:val="3CF27B95"/>
    <w:rsid w:val="3CFF5A50"/>
    <w:rsid w:val="3D066B35"/>
    <w:rsid w:val="3D3C210D"/>
    <w:rsid w:val="3D575AE9"/>
    <w:rsid w:val="3D5A3B41"/>
    <w:rsid w:val="3D5F5D82"/>
    <w:rsid w:val="3D60278F"/>
    <w:rsid w:val="3D6636D8"/>
    <w:rsid w:val="3D676FE6"/>
    <w:rsid w:val="3D7D68E8"/>
    <w:rsid w:val="3D816473"/>
    <w:rsid w:val="3D936176"/>
    <w:rsid w:val="3DA605F1"/>
    <w:rsid w:val="3DB624D6"/>
    <w:rsid w:val="3DCE4212"/>
    <w:rsid w:val="3DE50A71"/>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40097753"/>
    <w:rsid w:val="401041CC"/>
    <w:rsid w:val="40385090"/>
    <w:rsid w:val="403D4075"/>
    <w:rsid w:val="40581609"/>
    <w:rsid w:val="4062552B"/>
    <w:rsid w:val="40762F0A"/>
    <w:rsid w:val="407E641B"/>
    <w:rsid w:val="40825976"/>
    <w:rsid w:val="4084632A"/>
    <w:rsid w:val="40D00C0D"/>
    <w:rsid w:val="40D14D78"/>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B353F1"/>
    <w:rsid w:val="41BB72F2"/>
    <w:rsid w:val="41C5567C"/>
    <w:rsid w:val="41C94A4A"/>
    <w:rsid w:val="41D4344D"/>
    <w:rsid w:val="41D66F44"/>
    <w:rsid w:val="41D855AF"/>
    <w:rsid w:val="41E33215"/>
    <w:rsid w:val="41EE0902"/>
    <w:rsid w:val="420D6792"/>
    <w:rsid w:val="42126EA7"/>
    <w:rsid w:val="4220489C"/>
    <w:rsid w:val="425C5BCE"/>
    <w:rsid w:val="42605FC7"/>
    <w:rsid w:val="427E1411"/>
    <w:rsid w:val="427E1440"/>
    <w:rsid w:val="42AF6E21"/>
    <w:rsid w:val="42B61D72"/>
    <w:rsid w:val="42B95478"/>
    <w:rsid w:val="42BC2E3B"/>
    <w:rsid w:val="42D21379"/>
    <w:rsid w:val="42F35F7E"/>
    <w:rsid w:val="4304205B"/>
    <w:rsid w:val="430E6D0F"/>
    <w:rsid w:val="43386CA4"/>
    <w:rsid w:val="433D333A"/>
    <w:rsid w:val="43422211"/>
    <w:rsid w:val="4343018D"/>
    <w:rsid w:val="434C4375"/>
    <w:rsid w:val="434E3D91"/>
    <w:rsid w:val="43605D67"/>
    <w:rsid w:val="436647E4"/>
    <w:rsid w:val="43675D4E"/>
    <w:rsid w:val="436E31A2"/>
    <w:rsid w:val="436E6A85"/>
    <w:rsid w:val="437C39D2"/>
    <w:rsid w:val="438863EE"/>
    <w:rsid w:val="43A94C99"/>
    <w:rsid w:val="43B93CA1"/>
    <w:rsid w:val="43C96CC1"/>
    <w:rsid w:val="43D95A5E"/>
    <w:rsid w:val="43DB681A"/>
    <w:rsid w:val="43E66B2A"/>
    <w:rsid w:val="43EF7DF5"/>
    <w:rsid w:val="43F75428"/>
    <w:rsid w:val="44062A2A"/>
    <w:rsid w:val="44064D7F"/>
    <w:rsid w:val="440F21F4"/>
    <w:rsid w:val="44312509"/>
    <w:rsid w:val="44353309"/>
    <w:rsid w:val="443D5C83"/>
    <w:rsid w:val="444112B7"/>
    <w:rsid w:val="4445734B"/>
    <w:rsid w:val="44486DE6"/>
    <w:rsid w:val="44704880"/>
    <w:rsid w:val="449A2D31"/>
    <w:rsid w:val="44A43AD2"/>
    <w:rsid w:val="44C0317F"/>
    <w:rsid w:val="44CA33E5"/>
    <w:rsid w:val="44CA44C7"/>
    <w:rsid w:val="44CB2B24"/>
    <w:rsid w:val="44CC6B71"/>
    <w:rsid w:val="44D2188E"/>
    <w:rsid w:val="44DB63C4"/>
    <w:rsid w:val="44E63F80"/>
    <w:rsid w:val="44FF12D4"/>
    <w:rsid w:val="4505615F"/>
    <w:rsid w:val="451A08D6"/>
    <w:rsid w:val="451A4504"/>
    <w:rsid w:val="45216D6E"/>
    <w:rsid w:val="45444294"/>
    <w:rsid w:val="454E526B"/>
    <w:rsid w:val="4576199B"/>
    <w:rsid w:val="457F625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6415C"/>
    <w:rsid w:val="460F365D"/>
    <w:rsid w:val="4612589E"/>
    <w:rsid w:val="464C33C7"/>
    <w:rsid w:val="468D25A7"/>
    <w:rsid w:val="46A1326E"/>
    <w:rsid w:val="46A2703C"/>
    <w:rsid w:val="46AD29A2"/>
    <w:rsid w:val="46C07B71"/>
    <w:rsid w:val="46C97019"/>
    <w:rsid w:val="46D11B8F"/>
    <w:rsid w:val="46D202C6"/>
    <w:rsid w:val="46E2491C"/>
    <w:rsid w:val="46EB4D4C"/>
    <w:rsid w:val="46F0402F"/>
    <w:rsid w:val="470401D6"/>
    <w:rsid w:val="470A674E"/>
    <w:rsid w:val="470E2853"/>
    <w:rsid w:val="47155653"/>
    <w:rsid w:val="47690EAD"/>
    <w:rsid w:val="476C1FD1"/>
    <w:rsid w:val="477A102B"/>
    <w:rsid w:val="477C3C9F"/>
    <w:rsid w:val="47835FD1"/>
    <w:rsid w:val="47921058"/>
    <w:rsid w:val="47980643"/>
    <w:rsid w:val="47AC64AE"/>
    <w:rsid w:val="47BA20DB"/>
    <w:rsid w:val="47CD4EBC"/>
    <w:rsid w:val="47D34EEE"/>
    <w:rsid w:val="47DC4C30"/>
    <w:rsid w:val="48002186"/>
    <w:rsid w:val="48220C0B"/>
    <w:rsid w:val="48330D0B"/>
    <w:rsid w:val="4844010E"/>
    <w:rsid w:val="48586A3A"/>
    <w:rsid w:val="48620B89"/>
    <w:rsid w:val="4866681E"/>
    <w:rsid w:val="486D67CD"/>
    <w:rsid w:val="486D7B00"/>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D16C1"/>
    <w:rsid w:val="4959460B"/>
    <w:rsid w:val="49D9493E"/>
    <w:rsid w:val="49E05DCB"/>
    <w:rsid w:val="49F50CB4"/>
    <w:rsid w:val="4A0028F7"/>
    <w:rsid w:val="4A2B1F5C"/>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92E90"/>
    <w:rsid w:val="4B8A5383"/>
    <w:rsid w:val="4BB340E6"/>
    <w:rsid w:val="4BCD4308"/>
    <w:rsid w:val="4BD732D2"/>
    <w:rsid w:val="4BF859A8"/>
    <w:rsid w:val="4BFD4DB2"/>
    <w:rsid w:val="4C0C70D3"/>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D806AE"/>
    <w:rsid w:val="4DEB5692"/>
    <w:rsid w:val="4DF17B7F"/>
    <w:rsid w:val="4DF62A72"/>
    <w:rsid w:val="4DF71177"/>
    <w:rsid w:val="4E0A7662"/>
    <w:rsid w:val="4E15259A"/>
    <w:rsid w:val="4E163912"/>
    <w:rsid w:val="4E192019"/>
    <w:rsid w:val="4E1C4AEB"/>
    <w:rsid w:val="4E283BF9"/>
    <w:rsid w:val="4E3F2E3C"/>
    <w:rsid w:val="4E7A2E8A"/>
    <w:rsid w:val="4E9373C0"/>
    <w:rsid w:val="4EA6083B"/>
    <w:rsid w:val="4EAB62F0"/>
    <w:rsid w:val="4EC56069"/>
    <w:rsid w:val="4ED75DAE"/>
    <w:rsid w:val="4EE105D0"/>
    <w:rsid w:val="4EFA5D6D"/>
    <w:rsid w:val="4EFB4E8F"/>
    <w:rsid w:val="4F08177C"/>
    <w:rsid w:val="4F0D4F13"/>
    <w:rsid w:val="4F2C1A89"/>
    <w:rsid w:val="4F2F54B5"/>
    <w:rsid w:val="4F3D05DF"/>
    <w:rsid w:val="4F4F0440"/>
    <w:rsid w:val="4F632DB7"/>
    <w:rsid w:val="4F6828F3"/>
    <w:rsid w:val="4F745890"/>
    <w:rsid w:val="4F7702EF"/>
    <w:rsid w:val="4F7B55C1"/>
    <w:rsid w:val="4F882033"/>
    <w:rsid w:val="4F967CF0"/>
    <w:rsid w:val="4FB140AE"/>
    <w:rsid w:val="4FB76356"/>
    <w:rsid w:val="4FEA2E06"/>
    <w:rsid w:val="4FEF5594"/>
    <w:rsid w:val="4FF6565E"/>
    <w:rsid w:val="500A2552"/>
    <w:rsid w:val="50131C60"/>
    <w:rsid w:val="501723E6"/>
    <w:rsid w:val="50296286"/>
    <w:rsid w:val="502D02A0"/>
    <w:rsid w:val="50396587"/>
    <w:rsid w:val="50486E0E"/>
    <w:rsid w:val="5075104B"/>
    <w:rsid w:val="5075687D"/>
    <w:rsid w:val="507852DF"/>
    <w:rsid w:val="50866AC3"/>
    <w:rsid w:val="508A07B8"/>
    <w:rsid w:val="50900126"/>
    <w:rsid w:val="509C7C29"/>
    <w:rsid w:val="50A32FC8"/>
    <w:rsid w:val="50B614C2"/>
    <w:rsid w:val="50C74476"/>
    <w:rsid w:val="50E41082"/>
    <w:rsid w:val="50F66EF4"/>
    <w:rsid w:val="50F96C4E"/>
    <w:rsid w:val="50FA2CE9"/>
    <w:rsid w:val="5104147F"/>
    <w:rsid w:val="51075C61"/>
    <w:rsid w:val="511835E5"/>
    <w:rsid w:val="51233865"/>
    <w:rsid w:val="51240121"/>
    <w:rsid w:val="512C327D"/>
    <w:rsid w:val="514329D6"/>
    <w:rsid w:val="51663591"/>
    <w:rsid w:val="518D3959"/>
    <w:rsid w:val="51904C47"/>
    <w:rsid w:val="51A5718F"/>
    <w:rsid w:val="51AA5EE3"/>
    <w:rsid w:val="51AC042E"/>
    <w:rsid w:val="51AE2C09"/>
    <w:rsid w:val="51B67C18"/>
    <w:rsid w:val="51BB2F03"/>
    <w:rsid w:val="51C16B27"/>
    <w:rsid w:val="51DD07C4"/>
    <w:rsid w:val="51DF5E42"/>
    <w:rsid w:val="51E92702"/>
    <w:rsid w:val="51EA5164"/>
    <w:rsid w:val="51EE1CAB"/>
    <w:rsid w:val="51EE1CAE"/>
    <w:rsid w:val="52056978"/>
    <w:rsid w:val="520D1F5C"/>
    <w:rsid w:val="521B0709"/>
    <w:rsid w:val="521F5463"/>
    <w:rsid w:val="522C3822"/>
    <w:rsid w:val="523503EF"/>
    <w:rsid w:val="523A7964"/>
    <w:rsid w:val="524B64AA"/>
    <w:rsid w:val="52502DC9"/>
    <w:rsid w:val="52547186"/>
    <w:rsid w:val="526B2DEC"/>
    <w:rsid w:val="527D67A7"/>
    <w:rsid w:val="52AF3F38"/>
    <w:rsid w:val="52B33948"/>
    <w:rsid w:val="52C93BBE"/>
    <w:rsid w:val="52D05D9C"/>
    <w:rsid w:val="52DF5A77"/>
    <w:rsid w:val="530715FB"/>
    <w:rsid w:val="53297E57"/>
    <w:rsid w:val="533F38E7"/>
    <w:rsid w:val="53420089"/>
    <w:rsid w:val="534C79BB"/>
    <w:rsid w:val="537D23DD"/>
    <w:rsid w:val="5384469F"/>
    <w:rsid w:val="53871AB1"/>
    <w:rsid w:val="538D6A67"/>
    <w:rsid w:val="539802F4"/>
    <w:rsid w:val="539D2ACB"/>
    <w:rsid w:val="53A74C89"/>
    <w:rsid w:val="53AC48CA"/>
    <w:rsid w:val="53C12731"/>
    <w:rsid w:val="53CF5237"/>
    <w:rsid w:val="53D20731"/>
    <w:rsid w:val="53D224D9"/>
    <w:rsid w:val="53E27E4A"/>
    <w:rsid w:val="53E355BF"/>
    <w:rsid w:val="53E8282F"/>
    <w:rsid w:val="53E857A6"/>
    <w:rsid w:val="53F86054"/>
    <w:rsid w:val="54084368"/>
    <w:rsid w:val="54174D5D"/>
    <w:rsid w:val="543B76CE"/>
    <w:rsid w:val="54441F03"/>
    <w:rsid w:val="5458604D"/>
    <w:rsid w:val="545B4B40"/>
    <w:rsid w:val="54684A59"/>
    <w:rsid w:val="546F42E0"/>
    <w:rsid w:val="54735790"/>
    <w:rsid w:val="54805AA2"/>
    <w:rsid w:val="54881F94"/>
    <w:rsid w:val="54921106"/>
    <w:rsid w:val="54954EAC"/>
    <w:rsid w:val="549D7DE1"/>
    <w:rsid w:val="549E4A99"/>
    <w:rsid w:val="54A00AB1"/>
    <w:rsid w:val="54B03A20"/>
    <w:rsid w:val="54B93795"/>
    <w:rsid w:val="54E462F6"/>
    <w:rsid w:val="54F54AD8"/>
    <w:rsid w:val="550875D8"/>
    <w:rsid w:val="550C5474"/>
    <w:rsid w:val="55100448"/>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2442D"/>
    <w:rsid w:val="558D6B82"/>
    <w:rsid w:val="55943888"/>
    <w:rsid w:val="559F786F"/>
    <w:rsid w:val="55AD28F4"/>
    <w:rsid w:val="55AE5163"/>
    <w:rsid w:val="55B62F64"/>
    <w:rsid w:val="55BD4F0C"/>
    <w:rsid w:val="55D01BC1"/>
    <w:rsid w:val="55E32F66"/>
    <w:rsid w:val="560010ED"/>
    <w:rsid w:val="560A1E7A"/>
    <w:rsid w:val="560C20A5"/>
    <w:rsid w:val="562E13B9"/>
    <w:rsid w:val="56312196"/>
    <w:rsid w:val="56353E08"/>
    <w:rsid w:val="56362C3B"/>
    <w:rsid w:val="564B4F61"/>
    <w:rsid w:val="56506BA6"/>
    <w:rsid w:val="565D32EE"/>
    <w:rsid w:val="56682B4C"/>
    <w:rsid w:val="5668633D"/>
    <w:rsid w:val="566D65BC"/>
    <w:rsid w:val="56707213"/>
    <w:rsid w:val="5677517B"/>
    <w:rsid w:val="56882964"/>
    <w:rsid w:val="568E5C2E"/>
    <w:rsid w:val="56946918"/>
    <w:rsid w:val="56A05E75"/>
    <w:rsid w:val="56BD4880"/>
    <w:rsid w:val="56C210AA"/>
    <w:rsid w:val="56D13A0A"/>
    <w:rsid w:val="56D20120"/>
    <w:rsid w:val="56D20AA8"/>
    <w:rsid w:val="56D57F50"/>
    <w:rsid w:val="56E65453"/>
    <w:rsid w:val="56EC6164"/>
    <w:rsid w:val="57023C45"/>
    <w:rsid w:val="57110C6D"/>
    <w:rsid w:val="5713500C"/>
    <w:rsid w:val="5720074D"/>
    <w:rsid w:val="57243036"/>
    <w:rsid w:val="573336BE"/>
    <w:rsid w:val="573B06C9"/>
    <w:rsid w:val="575D3CB3"/>
    <w:rsid w:val="577B6220"/>
    <w:rsid w:val="577C648F"/>
    <w:rsid w:val="579E3D52"/>
    <w:rsid w:val="57B27112"/>
    <w:rsid w:val="57B738E0"/>
    <w:rsid w:val="57BC7E22"/>
    <w:rsid w:val="57CA6B58"/>
    <w:rsid w:val="57D3757D"/>
    <w:rsid w:val="57DD4CF2"/>
    <w:rsid w:val="57FF37AB"/>
    <w:rsid w:val="581663A7"/>
    <w:rsid w:val="583339EA"/>
    <w:rsid w:val="585144AA"/>
    <w:rsid w:val="58567D64"/>
    <w:rsid w:val="586578BF"/>
    <w:rsid w:val="58730A21"/>
    <w:rsid w:val="587A70C6"/>
    <w:rsid w:val="588D7EB4"/>
    <w:rsid w:val="589947D3"/>
    <w:rsid w:val="58A75020"/>
    <w:rsid w:val="58C0349D"/>
    <w:rsid w:val="58C94687"/>
    <w:rsid w:val="58F7247A"/>
    <w:rsid w:val="590413BD"/>
    <w:rsid w:val="5919795C"/>
    <w:rsid w:val="59232537"/>
    <w:rsid w:val="592F245D"/>
    <w:rsid w:val="593D3B58"/>
    <w:rsid w:val="59440619"/>
    <w:rsid w:val="594720D1"/>
    <w:rsid w:val="59570C35"/>
    <w:rsid w:val="596326A9"/>
    <w:rsid w:val="59700257"/>
    <w:rsid w:val="59724E0E"/>
    <w:rsid w:val="597252E0"/>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F739C"/>
    <w:rsid w:val="5A20482B"/>
    <w:rsid w:val="5A297734"/>
    <w:rsid w:val="5A4433AC"/>
    <w:rsid w:val="5A4F57C5"/>
    <w:rsid w:val="5A4F5EE1"/>
    <w:rsid w:val="5A593148"/>
    <w:rsid w:val="5A604B4C"/>
    <w:rsid w:val="5A620DD5"/>
    <w:rsid w:val="5A6E5F01"/>
    <w:rsid w:val="5A7F23D0"/>
    <w:rsid w:val="5A89045B"/>
    <w:rsid w:val="5A947631"/>
    <w:rsid w:val="5A9F1F6A"/>
    <w:rsid w:val="5AAE1E87"/>
    <w:rsid w:val="5ACF442D"/>
    <w:rsid w:val="5AD87740"/>
    <w:rsid w:val="5AE67D49"/>
    <w:rsid w:val="5AEC2ADA"/>
    <w:rsid w:val="5AED24DD"/>
    <w:rsid w:val="5AF2382A"/>
    <w:rsid w:val="5AF43314"/>
    <w:rsid w:val="5B0604A3"/>
    <w:rsid w:val="5B1223E2"/>
    <w:rsid w:val="5B162801"/>
    <w:rsid w:val="5B247BFB"/>
    <w:rsid w:val="5B344D84"/>
    <w:rsid w:val="5B585CC5"/>
    <w:rsid w:val="5B5B6C7F"/>
    <w:rsid w:val="5B5F167F"/>
    <w:rsid w:val="5B8E3166"/>
    <w:rsid w:val="5B903475"/>
    <w:rsid w:val="5B982E7E"/>
    <w:rsid w:val="5B9B660C"/>
    <w:rsid w:val="5BD1505A"/>
    <w:rsid w:val="5BD92BA9"/>
    <w:rsid w:val="5BDD29C3"/>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62A93"/>
    <w:rsid w:val="5D867492"/>
    <w:rsid w:val="5D8F3E02"/>
    <w:rsid w:val="5D9126BE"/>
    <w:rsid w:val="5DAD66F9"/>
    <w:rsid w:val="5DAF334A"/>
    <w:rsid w:val="5DD07EF8"/>
    <w:rsid w:val="5DD15393"/>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91BCB"/>
    <w:rsid w:val="5FBF59B7"/>
    <w:rsid w:val="5FD21CA0"/>
    <w:rsid w:val="5FD81733"/>
    <w:rsid w:val="5FDE2E8C"/>
    <w:rsid w:val="5FE32071"/>
    <w:rsid w:val="5FED15CB"/>
    <w:rsid w:val="600B6F9E"/>
    <w:rsid w:val="600F0E40"/>
    <w:rsid w:val="60204443"/>
    <w:rsid w:val="602A71DA"/>
    <w:rsid w:val="60377C74"/>
    <w:rsid w:val="60481217"/>
    <w:rsid w:val="605806CA"/>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9B3"/>
    <w:rsid w:val="613C7AC2"/>
    <w:rsid w:val="6152509D"/>
    <w:rsid w:val="615A6011"/>
    <w:rsid w:val="61624B79"/>
    <w:rsid w:val="617504E6"/>
    <w:rsid w:val="617812D0"/>
    <w:rsid w:val="61797EA7"/>
    <w:rsid w:val="618B5C3B"/>
    <w:rsid w:val="6194428A"/>
    <w:rsid w:val="61A20BAF"/>
    <w:rsid w:val="61A8370C"/>
    <w:rsid w:val="61AC7C3E"/>
    <w:rsid w:val="61C544D0"/>
    <w:rsid w:val="61CA71FC"/>
    <w:rsid w:val="61D12A7D"/>
    <w:rsid w:val="61DD6C29"/>
    <w:rsid w:val="61DD7269"/>
    <w:rsid w:val="61DE687D"/>
    <w:rsid w:val="61F26A42"/>
    <w:rsid w:val="62015914"/>
    <w:rsid w:val="6224074C"/>
    <w:rsid w:val="62297593"/>
    <w:rsid w:val="62327D52"/>
    <w:rsid w:val="623D4244"/>
    <w:rsid w:val="62416372"/>
    <w:rsid w:val="62515E8E"/>
    <w:rsid w:val="626224AE"/>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B50A6"/>
    <w:rsid w:val="635F3E6C"/>
    <w:rsid w:val="638D42C0"/>
    <w:rsid w:val="63A855E8"/>
    <w:rsid w:val="63B0726B"/>
    <w:rsid w:val="63D0326A"/>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D4C82"/>
    <w:rsid w:val="66D9632C"/>
    <w:rsid w:val="66E63A20"/>
    <w:rsid w:val="66F76FD0"/>
    <w:rsid w:val="66F9395F"/>
    <w:rsid w:val="67044237"/>
    <w:rsid w:val="670D1283"/>
    <w:rsid w:val="671B3C27"/>
    <w:rsid w:val="67292B3C"/>
    <w:rsid w:val="673253D5"/>
    <w:rsid w:val="673C344F"/>
    <w:rsid w:val="6755674D"/>
    <w:rsid w:val="67586A9B"/>
    <w:rsid w:val="675B57F5"/>
    <w:rsid w:val="675F2A05"/>
    <w:rsid w:val="676207E2"/>
    <w:rsid w:val="676A6E3A"/>
    <w:rsid w:val="676F77C9"/>
    <w:rsid w:val="67774242"/>
    <w:rsid w:val="6791215B"/>
    <w:rsid w:val="67993ACA"/>
    <w:rsid w:val="67995BDF"/>
    <w:rsid w:val="67AC4122"/>
    <w:rsid w:val="67BC5B96"/>
    <w:rsid w:val="67BF0592"/>
    <w:rsid w:val="67C3489F"/>
    <w:rsid w:val="67CF5883"/>
    <w:rsid w:val="67D2542E"/>
    <w:rsid w:val="67D72703"/>
    <w:rsid w:val="67D82FEC"/>
    <w:rsid w:val="67F750D2"/>
    <w:rsid w:val="67FF6FE0"/>
    <w:rsid w:val="680E4D2C"/>
    <w:rsid w:val="68363F74"/>
    <w:rsid w:val="683659CB"/>
    <w:rsid w:val="684B46A6"/>
    <w:rsid w:val="684D303D"/>
    <w:rsid w:val="685A4162"/>
    <w:rsid w:val="68767581"/>
    <w:rsid w:val="6884668C"/>
    <w:rsid w:val="6888364F"/>
    <w:rsid w:val="689641FE"/>
    <w:rsid w:val="68A3215E"/>
    <w:rsid w:val="68BC7C3A"/>
    <w:rsid w:val="68C07C6D"/>
    <w:rsid w:val="68EE5FF6"/>
    <w:rsid w:val="68F11B06"/>
    <w:rsid w:val="68F12C0F"/>
    <w:rsid w:val="68F13CC7"/>
    <w:rsid w:val="68F3235D"/>
    <w:rsid w:val="69036D2A"/>
    <w:rsid w:val="69044E32"/>
    <w:rsid w:val="69060615"/>
    <w:rsid w:val="690A435D"/>
    <w:rsid w:val="692E19FD"/>
    <w:rsid w:val="6949404D"/>
    <w:rsid w:val="695A62A9"/>
    <w:rsid w:val="696E4DB1"/>
    <w:rsid w:val="69831A73"/>
    <w:rsid w:val="69833B52"/>
    <w:rsid w:val="69840A36"/>
    <w:rsid w:val="698C6058"/>
    <w:rsid w:val="69976019"/>
    <w:rsid w:val="69A60CBC"/>
    <w:rsid w:val="69B339A6"/>
    <w:rsid w:val="69B665F3"/>
    <w:rsid w:val="69C932A9"/>
    <w:rsid w:val="69DC4528"/>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1121C"/>
    <w:rsid w:val="6ADB2ADD"/>
    <w:rsid w:val="6AF666D5"/>
    <w:rsid w:val="6B2E7032"/>
    <w:rsid w:val="6B3413B3"/>
    <w:rsid w:val="6B537D47"/>
    <w:rsid w:val="6B60464B"/>
    <w:rsid w:val="6B681EB2"/>
    <w:rsid w:val="6B696FA9"/>
    <w:rsid w:val="6B741DC4"/>
    <w:rsid w:val="6B7C7DA8"/>
    <w:rsid w:val="6B80359D"/>
    <w:rsid w:val="6BA63872"/>
    <w:rsid w:val="6BC80A7B"/>
    <w:rsid w:val="6BDE3149"/>
    <w:rsid w:val="6BE115FE"/>
    <w:rsid w:val="6BFD6BB7"/>
    <w:rsid w:val="6C026D64"/>
    <w:rsid w:val="6C0E6B4D"/>
    <w:rsid w:val="6C34211A"/>
    <w:rsid w:val="6C3727E2"/>
    <w:rsid w:val="6C3F714D"/>
    <w:rsid w:val="6C6B5BD5"/>
    <w:rsid w:val="6C8A1950"/>
    <w:rsid w:val="6C8A288A"/>
    <w:rsid w:val="6C917384"/>
    <w:rsid w:val="6C991D5D"/>
    <w:rsid w:val="6CB16C1F"/>
    <w:rsid w:val="6CB7341A"/>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7432C"/>
    <w:rsid w:val="6D7D1AC3"/>
    <w:rsid w:val="6D815C50"/>
    <w:rsid w:val="6DB32EBA"/>
    <w:rsid w:val="6DBA7E68"/>
    <w:rsid w:val="6DBF0696"/>
    <w:rsid w:val="6DD05B97"/>
    <w:rsid w:val="6DD23DE9"/>
    <w:rsid w:val="6DD62CFA"/>
    <w:rsid w:val="6DE16B73"/>
    <w:rsid w:val="6DE61C05"/>
    <w:rsid w:val="6DEC5AC7"/>
    <w:rsid w:val="6E02368D"/>
    <w:rsid w:val="6E236350"/>
    <w:rsid w:val="6E2573F2"/>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C3116"/>
    <w:rsid w:val="6F0303A8"/>
    <w:rsid w:val="6F0C63D7"/>
    <w:rsid w:val="6F0E6EA0"/>
    <w:rsid w:val="6F0E7B8B"/>
    <w:rsid w:val="6F276BB0"/>
    <w:rsid w:val="6F3B5656"/>
    <w:rsid w:val="6F4A06CE"/>
    <w:rsid w:val="6F6408C5"/>
    <w:rsid w:val="6F653AC8"/>
    <w:rsid w:val="6F6A4079"/>
    <w:rsid w:val="6F6F34A0"/>
    <w:rsid w:val="6F8A5F78"/>
    <w:rsid w:val="6FA70BA7"/>
    <w:rsid w:val="6FA73D05"/>
    <w:rsid w:val="6FAF1C9C"/>
    <w:rsid w:val="6FBD44AB"/>
    <w:rsid w:val="6FC61949"/>
    <w:rsid w:val="6FCE771B"/>
    <w:rsid w:val="6FD14A24"/>
    <w:rsid w:val="6FD80473"/>
    <w:rsid w:val="6FE0254F"/>
    <w:rsid w:val="6FE66281"/>
    <w:rsid w:val="6FE82829"/>
    <w:rsid w:val="6FF80816"/>
    <w:rsid w:val="700C4781"/>
    <w:rsid w:val="70105602"/>
    <w:rsid w:val="701168CC"/>
    <w:rsid w:val="70134DF9"/>
    <w:rsid w:val="702A21C5"/>
    <w:rsid w:val="702E56D9"/>
    <w:rsid w:val="703B4AA7"/>
    <w:rsid w:val="705642DC"/>
    <w:rsid w:val="7062438A"/>
    <w:rsid w:val="70B174B8"/>
    <w:rsid w:val="70B87F99"/>
    <w:rsid w:val="70C06311"/>
    <w:rsid w:val="70C37DFF"/>
    <w:rsid w:val="70C96CF0"/>
    <w:rsid w:val="70D1148B"/>
    <w:rsid w:val="70DC51AC"/>
    <w:rsid w:val="70F72D6E"/>
    <w:rsid w:val="71154DE5"/>
    <w:rsid w:val="712F05D2"/>
    <w:rsid w:val="712F4884"/>
    <w:rsid w:val="7130470C"/>
    <w:rsid w:val="71431E1E"/>
    <w:rsid w:val="714A575C"/>
    <w:rsid w:val="714D5498"/>
    <w:rsid w:val="71532FE3"/>
    <w:rsid w:val="7177447D"/>
    <w:rsid w:val="71942565"/>
    <w:rsid w:val="71956D10"/>
    <w:rsid w:val="719E1803"/>
    <w:rsid w:val="71D01A82"/>
    <w:rsid w:val="71D477D6"/>
    <w:rsid w:val="71D91572"/>
    <w:rsid w:val="71E329B9"/>
    <w:rsid w:val="71E36CE7"/>
    <w:rsid w:val="71F16E28"/>
    <w:rsid w:val="721459A1"/>
    <w:rsid w:val="723D7D7D"/>
    <w:rsid w:val="724A5D81"/>
    <w:rsid w:val="72516EA0"/>
    <w:rsid w:val="725D01F5"/>
    <w:rsid w:val="728576DC"/>
    <w:rsid w:val="72A41103"/>
    <w:rsid w:val="72C20714"/>
    <w:rsid w:val="72C96AFD"/>
    <w:rsid w:val="72C96D9C"/>
    <w:rsid w:val="72F36F06"/>
    <w:rsid w:val="72F42BA6"/>
    <w:rsid w:val="72FA494D"/>
    <w:rsid w:val="730243B3"/>
    <w:rsid w:val="7321765C"/>
    <w:rsid w:val="73337CF8"/>
    <w:rsid w:val="73391467"/>
    <w:rsid w:val="734202CC"/>
    <w:rsid w:val="736173E3"/>
    <w:rsid w:val="736C3816"/>
    <w:rsid w:val="736E68EE"/>
    <w:rsid w:val="736F76A9"/>
    <w:rsid w:val="73702680"/>
    <w:rsid w:val="73721F07"/>
    <w:rsid w:val="737D693A"/>
    <w:rsid w:val="73872ED1"/>
    <w:rsid w:val="73992BDC"/>
    <w:rsid w:val="73A47EFB"/>
    <w:rsid w:val="73AA0B80"/>
    <w:rsid w:val="73BD0ECB"/>
    <w:rsid w:val="73C42BD2"/>
    <w:rsid w:val="73C4341B"/>
    <w:rsid w:val="73D87220"/>
    <w:rsid w:val="73E16E48"/>
    <w:rsid w:val="73F77ED0"/>
    <w:rsid w:val="73FD1FE1"/>
    <w:rsid w:val="741920B7"/>
    <w:rsid w:val="74274051"/>
    <w:rsid w:val="74394C16"/>
    <w:rsid w:val="744C4300"/>
    <w:rsid w:val="74522ADD"/>
    <w:rsid w:val="74697489"/>
    <w:rsid w:val="74885903"/>
    <w:rsid w:val="74A305F8"/>
    <w:rsid w:val="74AE732D"/>
    <w:rsid w:val="74E21D75"/>
    <w:rsid w:val="74EA7314"/>
    <w:rsid w:val="750E6F22"/>
    <w:rsid w:val="751E3863"/>
    <w:rsid w:val="752A213B"/>
    <w:rsid w:val="752D76AD"/>
    <w:rsid w:val="75322F2D"/>
    <w:rsid w:val="75367523"/>
    <w:rsid w:val="753B0AEC"/>
    <w:rsid w:val="753E466F"/>
    <w:rsid w:val="753E4AFA"/>
    <w:rsid w:val="754D1042"/>
    <w:rsid w:val="7552701E"/>
    <w:rsid w:val="757C09D4"/>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2961"/>
    <w:rsid w:val="76DA28C5"/>
    <w:rsid w:val="76DE63E9"/>
    <w:rsid w:val="76E97048"/>
    <w:rsid w:val="76F10225"/>
    <w:rsid w:val="76F84648"/>
    <w:rsid w:val="76FF4AF8"/>
    <w:rsid w:val="77267F29"/>
    <w:rsid w:val="772B0E02"/>
    <w:rsid w:val="77361D8F"/>
    <w:rsid w:val="773F6B8B"/>
    <w:rsid w:val="77685CA5"/>
    <w:rsid w:val="777164C4"/>
    <w:rsid w:val="777F1F8A"/>
    <w:rsid w:val="778F53C8"/>
    <w:rsid w:val="77A340AF"/>
    <w:rsid w:val="77FC7EA1"/>
    <w:rsid w:val="78030BB3"/>
    <w:rsid w:val="781E5BB3"/>
    <w:rsid w:val="78291A3D"/>
    <w:rsid w:val="7840644C"/>
    <w:rsid w:val="78665DAD"/>
    <w:rsid w:val="78684E9D"/>
    <w:rsid w:val="786B0114"/>
    <w:rsid w:val="788526FC"/>
    <w:rsid w:val="789325A8"/>
    <w:rsid w:val="789C5CC2"/>
    <w:rsid w:val="78B55E40"/>
    <w:rsid w:val="78BD011C"/>
    <w:rsid w:val="78CF013E"/>
    <w:rsid w:val="78D41BC4"/>
    <w:rsid w:val="78D7123D"/>
    <w:rsid w:val="78E45DC5"/>
    <w:rsid w:val="78E74107"/>
    <w:rsid w:val="78E829E1"/>
    <w:rsid w:val="7911492F"/>
    <w:rsid w:val="79254E6A"/>
    <w:rsid w:val="79292660"/>
    <w:rsid w:val="79424D71"/>
    <w:rsid w:val="794A4ACB"/>
    <w:rsid w:val="7969335E"/>
    <w:rsid w:val="79707EB6"/>
    <w:rsid w:val="79956DF5"/>
    <w:rsid w:val="799F18BD"/>
    <w:rsid w:val="79A9542E"/>
    <w:rsid w:val="79B67472"/>
    <w:rsid w:val="79BE5DE1"/>
    <w:rsid w:val="79D65E05"/>
    <w:rsid w:val="79D82C2E"/>
    <w:rsid w:val="79E24263"/>
    <w:rsid w:val="79F04129"/>
    <w:rsid w:val="79F21FD8"/>
    <w:rsid w:val="7A044F5E"/>
    <w:rsid w:val="7A0716CA"/>
    <w:rsid w:val="7A114BB5"/>
    <w:rsid w:val="7A14656B"/>
    <w:rsid w:val="7A246641"/>
    <w:rsid w:val="7A3005C8"/>
    <w:rsid w:val="7A495661"/>
    <w:rsid w:val="7A4D6899"/>
    <w:rsid w:val="7A5868E1"/>
    <w:rsid w:val="7A654EF0"/>
    <w:rsid w:val="7A755AD2"/>
    <w:rsid w:val="7A7F5660"/>
    <w:rsid w:val="7A827221"/>
    <w:rsid w:val="7A9149C4"/>
    <w:rsid w:val="7A930150"/>
    <w:rsid w:val="7A972572"/>
    <w:rsid w:val="7AA34AEB"/>
    <w:rsid w:val="7ADE6CE8"/>
    <w:rsid w:val="7AEB63DD"/>
    <w:rsid w:val="7B0B6E35"/>
    <w:rsid w:val="7B17071C"/>
    <w:rsid w:val="7B2D4E59"/>
    <w:rsid w:val="7B3E6F0C"/>
    <w:rsid w:val="7B487574"/>
    <w:rsid w:val="7B5B03C8"/>
    <w:rsid w:val="7B677818"/>
    <w:rsid w:val="7B742FC3"/>
    <w:rsid w:val="7B7C2D50"/>
    <w:rsid w:val="7B8332C5"/>
    <w:rsid w:val="7B933A33"/>
    <w:rsid w:val="7B9B5776"/>
    <w:rsid w:val="7BB87E91"/>
    <w:rsid w:val="7BBA4C6D"/>
    <w:rsid w:val="7BBF7B42"/>
    <w:rsid w:val="7BC47370"/>
    <w:rsid w:val="7BE85532"/>
    <w:rsid w:val="7BF521EB"/>
    <w:rsid w:val="7BF65A76"/>
    <w:rsid w:val="7C1526D4"/>
    <w:rsid w:val="7C521E57"/>
    <w:rsid w:val="7C563743"/>
    <w:rsid w:val="7C5B29CF"/>
    <w:rsid w:val="7C6D5ED6"/>
    <w:rsid w:val="7C7F0437"/>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52319"/>
    <w:rsid w:val="7E564D83"/>
    <w:rsid w:val="7E691AAA"/>
    <w:rsid w:val="7E755EAD"/>
    <w:rsid w:val="7E784DF4"/>
    <w:rsid w:val="7E8C5D3C"/>
    <w:rsid w:val="7EA51811"/>
    <w:rsid w:val="7EA521AD"/>
    <w:rsid w:val="7EB37EC7"/>
    <w:rsid w:val="7EB52EE8"/>
    <w:rsid w:val="7EBC6F95"/>
    <w:rsid w:val="7ECE76CB"/>
    <w:rsid w:val="7ED14D09"/>
    <w:rsid w:val="7EDC7F0A"/>
    <w:rsid w:val="7EFC08FE"/>
    <w:rsid w:val="7EFC1A7B"/>
    <w:rsid w:val="7F0F5438"/>
    <w:rsid w:val="7F26412C"/>
    <w:rsid w:val="7F2E2C68"/>
    <w:rsid w:val="7F331D30"/>
    <w:rsid w:val="7F345D5C"/>
    <w:rsid w:val="7F37282D"/>
    <w:rsid w:val="7F4718C5"/>
    <w:rsid w:val="7F491102"/>
    <w:rsid w:val="7F5157A1"/>
    <w:rsid w:val="7F557C58"/>
    <w:rsid w:val="7F5D41F3"/>
    <w:rsid w:val="7F610DEC"/>
    <w:rsid w:val="7F6C669C"/>
    <w:rsid w:val="7F7A36CC"/>
    <w:rsid w:val="7F8117EC"/>
    <w:rsid w:val="7F817243"/>
    <w:rsid w:val="7FC9636E"/>
    <w:rsid w:val="7FCD746C"/>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semiHidden/>
    <w:unhideWhenUsed/>
    <w:qFormat/>
    <w:uiPriority w:val="1"/>
  </w:style>
  <w:style w:type="table" w:default="1" w:styleId="32">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unhideWhenUsed/>
    <w:qFormat/>
    <w:uiPriority w:val="0"/>
    <w:pPr>
      <w:spacing w:before="100" w:beforeAutospacing="1" w:after="100" w:afterAutospacing="1"/>
    </w:pPr>
    <w:rPr>
      <w:sz w:val="24"/>
      <w:szCs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overflowPunct/>
      <w:autoSpaceDE/>
      <w:autoSpaceDN/>
      <w:adjustRightInd/>
      <w:spacing w:after="0"/>
      <w:ind w:left="720"/>
      <w:contextualSpacing/>
      <w:textAlignment w:val="auto"/>
    </w:pPr>
    <w:rPr>
      <w:sz w:val="24"/>
      <w:szCs w:val="24"/>
      <w:lang w:val="fi-FI"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0.emf"/><Relationship Id="rId23" Type="http://schemas.openxmlformats.org/officeDocument/2006/relationships/oleObject" Target="embeddings/oleObject9.bin"/><Relationship Id="rId22" Type="http://schemas.openxmlformats.org/officeDocument/2006/relationships/image" Target="media/image9.emf"/><Relationship Id="rId21" Type="http://schemas.openxmlformats.org/officeDocument/2006/relationships/oleObject" Target="embeddings/oleObject8.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emf"/><Relationship Id="rId17" Type="http://schemas.openxmlformats.org/officeDocument/2006/relationships/oleObject" Target="embeddings/oleObject6.bin"/><Relationship Id="rId16" Type="http://schemas.openxmlformats.org/officeDocument/2006/relationships/image" Target="media/image6.emf"/><Relationship Id="rId15" Type="http://schemas.openxmlformats.org/officeDocument/2006/relationships/oleObject" Target="embeddings/oleObject5.bin"/><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4694</Words>
  <Characters>26759</Characters>
  <Lines>222</Lines>
  <Paragraphs>62</Paragraphs>
  <TotalTime>10</TotalTime>
  <ScaleCrop>false</ScaleCrop>
  <LinksUpToDate>false</LinksUpToDate>
  <CharactersWithSpaces>31391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2019-10-07T02:45:38Z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